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527246C">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35C11"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35C11">
        <w:rPr>
          <w:rFonts w:ascii="Century Gothic" w:eastAsiaTheme="majorEastAsia" w:hAnsi="Century Gothic" w:cs="Calibri"/>
          <w:bCs/>
          <w:color w:val="00B050"/>
          <w:sz w:val="72"/>
          <w:szCs w:val="72"/>
          <w:lang w:eastAsia="ja-JP"/>
        </w:rPr>
        <w:t>The Linden Centre</w:t>
      </w:r>
    </w:p>
    <w:p w14:paraId="25F44E89" w14:textId="77777777" w:rsidR="003D6FFD" w:rsidRPr="00135C11" w:rsidRDefault="003D6FFD" w:rsidP="00135C11">
      <w:pPr>
        <w:spacing w:after="0" w:line="240" w:lineRule="auto"/>
        <w:rPr>
          <w:rFonts w:ascii="Century Gothic" w:eastAsiaTheme="majorEastAsia" w:hAnsi="Century Gothic" w:cs="Calibri"/>
          <w:bCs/>
          <w:color w:val="7030A0"/>
          <w:sz w:val="72"/>
          <w:szCs w:val="72"/>
          <w:lang w:eastAsia="ja-JP"/>
        </w:rPr>
      </w:pPr>
    </w:p>
    <w:p w14:paraId="336D999D" w14:textId="57BFC313" w:rsidR="003D6FFD" w:rsidRPr="00135C11" w:rsidRDefault="00135C11" w:rsidP="00135C11">
      <w:pPr>
        <w:jc w:val="center"/>
        <w:rPr>
          <w:rFonts w:ascii="Century Gothic" w:eastAsiaTheme="majorEastAsia" w:hAnsi="Century Gothic" w:cs="Arial"/>
          <w:color w:val="000000" w:themeColor="text1"/>
          <w:sz w:val="72"/>
          <w:szCs w:val="80"/>
          <w:lang w:val="en-US" w:eastAsia="ja-JP"/>
        </w:rPr>
      </w:pPr>
      <w:r w:rsidRPr="00135C11">
        <w:rPr>
          <w:rFonts w:ascii="Century Gothic" w:eastAsiaTheme="majorEastAsia" w:hAnsi="Century Gothic" w:cs="Arial"/>
          <w:color w:val="000000" w:themeColor="text1"/>
          <w:sz w:val="72"/>
          <w:szCs w:val="80"/>
          <w:lang w:val="en-US" w:eastAsia="ja-JP"/>
        </w:rPr>
        <w:t>Equality Information and Objectives Policy</w:t>
      </w:r>
    </w:p>
    <w:p w14:paraId="29B82316" w14:textId="6DF31CB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894F2C5" w14:textId="25323E78" w:rsidR="003D6FFD" w:rsidRPr="006C79BC" w:rsidRDefault="003D6FFD" w:rsidP="003D6FFD">
      <w:pPr>
        <w:spacing w:after="0" w:line="240" w:lineRule="auto"/>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95DB8" w:rsidRPr="006C79BC" w14:paraId="42739EC9" w14:textId="77777777" w:rsidTr="00395DB8">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6A491A2" w14:textId="77777777" w:rsidR="00395DB8" w:rsidRPr="006C79BC" w:rsidRDefault="00395DB8">
            <w:pPr>
              <w:rPr>
                <w:rFonts w:ascii="Century Gothic" w:hAnsi="Century Gothic"/>
              </w:rPr>
            </w:pPr>
            <w:r w:rsidRPr="006C79BC">
              <w:rPr>
                <w:rFonts w:ascii="Century Gothic" w:hAnsi="Century Gothic"/>
              </w:rPr>
              <w:t xml:space="preserve">Signed by: </w:t>
            </w:r>
          </w:p>
        </w:tc>
      </w:tr>
      <w:tr w:rsidR="00395DB8" w:rsidRPr="006C79BC" w14:paraId="4CCB8B4D" w14:textId="77777777" w:rsidTr="00395DB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9F61EE" w14:textId="77777777" w:rsidR="00395DB8" w:rsidRPr="006C79BC" w:rsidRDefault="00395DB8">
            <w:pPr>
              <w:rPr>
                <w:rFonts w:ascii="Century Gothic" w:hAnsi="Century Gothic"/>
              </w:rPr>
            </w:pPr>
          </w:p>
          <w:p w14:paraId="457CCA4B" w14:textId="77777777" w:rsidR="00395DB8" w:rsidRPr="006C79BC" w:rsidRDefault="00395DB8">
            <w:pPr>
              <w:rPr>
                <w:rFonts w:ascii="Century Gothic" w:hAnsi="Century Gothic"/>
              </w:rPr>
            </w:pPr>
          </w:p>
          <w:p w14:paraId="5F696920"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F2CE35" w14:textId="77777777" w:rsidR="00395DB8" w:rsidRPr="006C79BC" w:rsidRDefault="00395DB8">
            <w:pPr>
              <w:rPr>
                <w:rFonts w:ascii="Century Gothic" w:hAnsi="Century Gothic"/>
              </w:rPr>
            </w:pPr>
          </w:p>
          <w:p w14:paraId="22DDC270" w14:textId="77777777" w:rsidR="00395DB8" w:rsidRPr="006C79BC" w:rsidRDefault="00395DB8">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790DD8" w14:textId="77777777" w:rsidR="00395DB8" w:rsidRPr="006C79BC" w:rsidRDefault="00395DB8">
            <w:pPr>
              <w:rPr>
                <w:rFonts w:ascii="Century Gothic" w:hAnsi="Century Gothic"/>
              </w:rPr>
            </w:pPr>
          </w:p>
          <w:p w14:paraId="2F14D210" w14:textId="77777777" w:rsidR="00395DB8" w:rsidRPr="006C79BC" w:rsidRDefault="00395DB8">
            <w:pPr>
              <w:rPr>
                <w:rFonts w:ascii="Century Gothic" w:hAnsi="Century Gothic"/>
              </w:rPr>
            </w:pPr>
            <w:r w:rsidRPr="006C79BC">
              <w:rPr>
                <w:rFonts w:ascii="Century Gothic" w:hAnsi="Century Gothic"/>
              </w:rPr>
              <w:t xml:space="preserve">Date: </w:t>
            </w:r>
          </w:p>
        </w:tc>
      </w:tr>
      <w:tr w:rsidR="00395DB8" w:rsidRPr="006C79BC" w14:paraId="7C796D3F" w14:textId="77777777" w:rsidTr="00395DB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ABDA7F" w14:textId="77777777" w:rsidR="00395DB8" w:rsidRPr="006C79BC" w:rsidRDefault="00395DB8">
            <w:pPr>
              <w:rPr>
                <w:rFonts w:ascii="Century Gothic" w:hAnsi="Century Gothic"/>
              </w:rPr>
            </w:pPr>
          </w:p>
          <w:p w14:paraId="56EA0597" w14:textId="77777777" w:rsidR="00395DB8" w:rsidRPr="006C79BC" w:rsidRDefault="00395DB8">
            <w:pPr>
              <w:rPr>
                <w:rFonts w:ascii="Century Gothic" w:hAnsi="Century Gothic"/>
              </w:rPr>
            </w:pPr>
          </w:p>
          <w:p w14:paraId="6AE54852"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146327" w14:textId="77777777" w:rsidR="00395DB8" w:rsidRPr="006C79BC" w:rsidRDefault="00395DB8">
            <w:pPr>
              <w:rPr>
                <w:rFonts w:ascii="Century Gothic" w:hAnsi="Century Gothic"/>
              </w:rPr>
            </w:pPr>
          </w:p>
          <w:p w14:paraId="1E2CC8A1" w14:textId="77777777" w:rsidR="00395DB8" w:rsidRPr="006C79BC" w:rsidRDefault="00395DB8">
            <w:pPr>
              <w:rPr>
                <w:rFonts w:ascii="Century Gothic" w:hAnsi="Century Gothic"/>
              </w:rPr>
            </w:pPr>
            <w:r w:rsidRPr="006C79BC">
              <w:rPr>
                <w:rFonts w:ascii="Century Gothic" w:hAnsi="Century Gothic"/>
              </w:rPr>
              <w:t xml:space="preserve">Chair of Management Committee </w:t>
            </w:r>
          </w:p>
          <w:p w14:paraId="37198CE6" w14:textId="77777777" w:rsidR="00395DB8" w:rsidRPr="006C79BC" w:rsidRDefault="00395DB8">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3F272C" w14:textId="77777777" w:rsidR="00395DB8" w:rsidRPr="006C79BC" w:rsidRDefault="00395DB8">
            <w:pPr>
              <w:rPr>
                <w:rFonts w:ascii="Century Gothic" w:hAnsi="Century Gothic"/>
              </w:rPr>
            </w:pPr>
          </w:p>
          <w:p w14:paraId="13CEB81A" w14:textId="77777777" w:rsidR="00395DB8" w:rsidRPr="006C79BC" w:rsidRDefault="00395DB8">
            <w:pPr>
              <w:rPr>
                <w:rFonts w:ascii="Century Gothic" w:hAnsi="Century Gothic"/>
              </w:rPr>
            </w:pPr>
            <w:r w:rsidRPr="006C79BC">
              <w:rPr>
                <w:rFonts w:ascii="Century Gothic" w:hAnsi="Century Gothic"/>
              </w:rPr>
              <w:t xml:space="preserve">Date </w:t>
            </w:r>
          </w:p>
        </w:tc>
      </w:tr>
    </w:tbl>
    <w:p w14:paraId="596105BE" w14:textId="77777777" w:rsidR="00395DB8" w:rsidRPr="006C79BC" w:rsidRDefault="00395DB8" w:rsidP="00395DB8">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882587" w:rsidRPr="006C79BC" w14:paraId="362B2E2F" w14:textId="77777777" w:rsidTr="0088258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262D9A" w14:textId="77777777" w:rsidR="00882587" w:rsidRPr="006C79BC" w:rsidRDefault="00882587" w:rsidP="00882587">
            <w:pPr>
              <w:rPr>
                <w:rFonts w:ascii="Century Gothic" w:hAnsi="Century Gothic"/>
              </w:rPr>
            </w:pPr>
          </w:p>
          <w:p w14:paraId="25B05626" w14:textId="77777777" w:rsidR="00882587" w:rsidRPr="006C79BC" w:rsidRDefault="00882587" w:rsidP="00882587">
            <w:pPr>
              <w:rPr>
                <w:rFonts w:ascii="Century Gothic" w:hAnsi="Century Gothic"/>
              </w:rPr>
            </w:pPr>
            <w:r w:rsidRPr="006C79BC">
              <w:rPr>
                <w:rFonts w:ascii="Century Gothic" w:hAnsi="Century Gothic"/>
              </w:rPr>
              <w:t>Last Updated</w:t>
            </w:r>
          </w:p>
          <w:p w14:paraId="78E5A42D" w14:textId="77777777" w:rsidR="00882587" w:rsidRPr="006C79BC" w:rsidRDefault="00882587" w:rsidP="0088258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7715BF" w14:textId="6C26A419" w:rsidR="00882587" w:rsidRPr="00B00D0E" w:rsidRDefault="00882587" w:rsidP="00882587">
            <w:pPr>
              <w:rPr>
                <w:rFonts w:ascii="Century Gothic" w:hAnsi="Century Gothic"/>
              </w:rPr>
            </w:pPr>
            <w:r>
              <w:rPr>
                <w:rFonts w:ascii="Century Gothic" w:hAnsi="Century Gothic"/>
              </w:rPr>
              <w:t>01/09/2024</w:t>
            </w:r>
          </w:p>
        </w:tc>
      </w:tr>
      <w:tr w:rsidR="00882587" w:rsidRPr="006C79BC" w14:paraId="5EB29309" w14:textId="77777777" w:rsidTr="0088258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9780B1" w14:textId="77777777" w:rsidR="00882587" w:rsidRPr="006C79BC" w:rsidRDefault="00882587" w:rsidP="00882587">
            <w:pPr>
              <w:rPr>
                <w:rFonts w:ascii="Century Gothic" w:hAnsi="Century Gothic"/>
              </w:rPr>
            </w:pPr>
          </w:p>
          <w:p w14:paraId="1C30C1F2" w14:textId="77777777" w:rsidR="00882587" w:rsidRPr="006C79BC" w:rsidRDefault="00882587" w:rsidP="00882587">
            <w:pPr>
              <w:rPr>
                <w:rFonts w:ascii="Century Gothic" w:hAnsi="Century Gothic"/>
              </w:rPr>
            </w:pPr>
            <w:r w:rsidRPr="006C79BC">
              <w:rPr>
                <w:rFonts w:ascii="Century Gothic" w:hAnsi="Century Gothic"/>
              </w:rPr>
              <w:t>Review Due:</w:t>
            </w:r>
          </w:p>
          <w:p w14:paraId="158D2ADF" w14:textId="77777777" w:rsidR="00882587" w:rsidRPr="006C79BC" w:rsidRDefault="00882587" w:rsidP="0088258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1BDFBA" w14:textId="6D071E6D" w:rsidR="00882587" w:rsidRPr="00B00D0E" w:rsidRDefault="00882587" w:rsidP="00882587">
            <w:pPr>
              <w:rPr>
                <w:rFonts w:ascii="Century Gothic" w:hAnsi="Century Gothic"/>
              </w:rPr>
            </w:pPr>
            <w:r>
              <w:rPr>
                <w:rFonts w:ascii="Century Gothic" w:hAnsi="Century Gothic"/>
              </w:rPr>
              <w:t>01/09/202</w:t>
            </w:r>
            <w:r>
              <w:rPr>
                <w:rFonts w:ascii="Century Gothic" w:hAnsi="Century Gothic"/>
              </w:rPr>
              <w:t>6</w:t>
            </w:r>
          </w:p>
        </w:tc>
      </w:tr>
    </w:tbl>
    <w:p w14:paraId="388D3BE8" w14:textId="77777777" w:rsidR="00135C11" w:rsidRPr="000E4563" w:rsidRDefault="00135C11" w:rsidP="00135C11">
      <w:pPr>
        <w:rPr>
          <w:rFonts w:eastAsiaTheme="majorEastAsia" w:cs="Arial"/>
          <w:sz w:val="80"/>
          <w:szCs w:val="80"/>
          <w:lang w:val="en-US" w:eastAsia="ja-JP"/>
        </w:rPr>
        <w:sectPr w:rsidR="00135C11" w:rsidRPr="000E4563" w:rsidSect="00135C1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1D400242" w14:textId="77777777" w:rsidR="00135C11" w:rsidRPr="00135C11" w:rsidRDefault="00135C11" w:rsidP="00135C11">
      <w:pPr>
        <w:pStyle w:val="ListParagraph"/>
        <w:spacing w:before="120" w:after="120" w:line="320" w:lineRule="exact"/>
        <w:ind w:left="360"/>
        <w:rPr>
          <w:rFonts w:ascii="Century Gothic" w:hAnsi="Century Gothic" w:cs="Arial"/>
          <w:b/>
          <w:color w:val="000000" w:themeColor="text1"/>
        </w:rPr>
      </w:pPr>
      <w:r w:rsidRPr="00135C11">
        <w:rPr>
          <w:rFonts w:ascii="Century Gothic" w:hAnsi="Century Gothic" w:cs="Arial"/>
          <w:b/>
          <w:color w:val="000000" w:themeColor="text1"/>
        </w:rPr>
        <w:lastRenderedPageBreak/>
        <w:t>Contents:</w:t>
      </w:r>
    </w:p>
    <w:p w14:paraId="3BA362B0" w14:textId="77777777" w:rsidR="00135C11" w:rsidRPr="00135C11" w:rsidRDefault="00135C11" w:rsidP="00135C11">
      <w:pPr>
        <w:pStyle w:val="ListParagraph"/>
        <w:spacing w:before="120" w:after="120" w:line="320" w:lineRule="exact"/>
        <w:ind w:left="360"/>
        <w:rPr>
          <w:rFonts w:ascii="Century Gothic" w:hAnsi="Century Gothic" w:cs="Arial"/>
          <w:b/>
          <w:color w:val="000000" w:themeColor="text1"/>
        </w:rPr>
      </w:pPr>
    </w:p>
    <w:p w14:paraId="060DC312" w14:textId="77777777" w:rsidR="00135C11" w:rsidRPr="00135C11" w:rsidRDefault="00135C11" w:rsidP="00135C11">
      <w:pPr>
        <w:spacing w:line="240" w:lineRule="auto"/>
        <w:ind w:left="717"/>
        <w:rPr>
          <w:rStyle w:val="Hyperlink"/>
          <w:rFonts w:ascii="Century Gothic" w:hAnsi="Century Gothic" w:cs="Arial"/>
          <w:color w:val="000000" w:themeColor="text1"/>
        </w:rPr>
      </w:pPr>
      <w:r w:rsidRPr="00135C11">
        <w:rPr>
          <w:rFonts w:ascii="Century Gothic" w:hAnsi="Century Gothic" w:cs="Arial"/>
          <w:color w:val="000000" w:themeColor="text1"/>
        </w:rPr>
        <w:fldChar w:fldCharType="begin"/>
      </w:r>
      <w:r w:rsidRPr="00135C11">
        <w:rPr>
          <w:rFonts w:ascii="Century Gothic" w:hAnsi="Century Gothic" w:cs="Arial"/>
          <w:color w:val="000000" w:themeColor="text1"/>
        </w:rPr>
        <w:instrText xml:space="preserve"> HYPERLINK  \l "_Statement_of_intent_1" </w:instrText>
      </w:r>
      <w:r w:rsidRPr="00135C11">
        <w:rPr>
          <w:rFonts w:ascii="Century Gothic" w:hAnsi="Century Gothic" w:cs="Arial"/>
          <w:color w:val="000000" w:themeColor="text1"/>
        </w:rPr>
      </w:r>
      <w:r w:rsidRPr="00135C11">
        <w:rPr>
          <w:rFonts w:ascii="Century Gothic" w:hAnsi="Century Gothic" w:cs="Arial"/>
          <w:color w:val="000000" w:themeColor="text1"/>
        </w:rPr>
        <w:fldChar w:fldCharType="separate"/>
      </w:r>
      <w:r w:rsidRPr="00135C11">
        <w:rPr>
          <w:rStyle w:val="Hyperlink"/>
          <w:rFonts w:ascii="Century Gothic" w:hAnsi="Century Gothic" w:cs="Arial"/>
          <w:color w:val="000000" w:themeColor="text1"/>
        </w:rPr>
        <w:t>Statement of intent</w:t>
      </w:r>
      <w:bookmarkStart w:id="6" w:name="b"/>
    </w:p>
    <w:p w14:paraId="590147CE"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r w:rsidRPr="00135C11">
        <w:rPr>
          <w:rFonts w:ascii="Century Gothic" w:hAnsi="Century Gothic" w:cs="Arial"/>
          <w:color w:val="000000" w:themeColor="text1"/>
        </w:rPr>
        <w:fldChar w:fldCharType="end"/>
      </w:r>
      <w:bookmarkEnd w:id="6"/>
      <w:r w:rsidRPr="00135C11">
        <w:rPr>
          <w:rFonts w:ascii="Century Gothic" w:hAnsi="Century Gothic" w:cs="Arial"/>
          <w:color w:val="000000" w:themeColor="text1"/>
        </w:rPr>
        <w:fldChar w:fldCharType="begin"/>
      </w:r>
      <w:r w:rsidRPr="00135C11">
        <w:rPr>
          <w:rFonts w:ascii="Century Gothic" w:hAnsi="Century Gothic" w:cs="Arial"/>
          <w:color w:val="000000" w:themeColor="text1"/>
        </w:rPr>
        <w:instrText>HYPERLINK  \l "_Legal_framework_1"</w:instrText>
      </w:r>
      <w:r w:rsidRPr="00135C11">
        <w:rPr>
          <w:rFonts w:ascii="Century Gothic" w:hAnsi="Century Gothic" w:cs="Arial"/>
          <w:color w:val="000000" w:themeColor="text1"/>
        </w:rPr>
      </w:r>
      <w:r w:rsidRPr="00135C11">
        <w:rPr>
          <w:rFonts w:ascii="Century Gothic" w:hAnsi="Century Gothic" w:cs="Arial"/>
          <w:color w:val="000000" w:themeColor="text1"/>
        </w:rPr>
        <w:fldChar w:fldCharType="separate"/>
      </w:r>
      <w:r w:rsidRPr="00135C11">
        <w:rPr>
          <w:rStyle w:val="Hyperlink"/>
          <w:rFonts w:ascii="Century Gothic" w:hAnsi="Century Gothic" w:cs="Arial"/>
          <w:color w:val="000000" w:themeColor="text1"/>
        </w:rPr>
        <w:t>Legal framework</w:t>
      </w:r>
      <w:r w:rsidRPr="00135C11">
        <w:rPr>
          <w:rFonts w:ascii="Century Gothic" w:hAnsi="Century Gothic" w:cs="Arial"/>
          <w:color w:val="000000" w:themeColor="text1"/>
        </w:rPr>
        <w:fldChar w:fldCharType="end"/>
      </w:r>
      <w:r w:rsidRPr="00135C11">
        <w:rPr>
          <w:rFonts w:ascii="Century Gothic" w:hAnsi="Century Gothic" w:cs="Arial"/>
          <w:color w:val="000000" w:themeColor="text1"/>
        </w:rPr>
        <w:t xml:space="preserve"> </w:t>
      </w:r>
    </w:p>
    <w:p w14:paraId="212C8181" w14:textId="77777777" w:rsidR="00135C11" w:rsidRPr="00135C11" w:rsidRDefault="00135C11" w:rsidP="00135C11">
      <w:pPr>
        <w:pStyle w:val="ListParagraph"/>
        <w:numPr>
          <w:ilvl w:val="0"/>
          <w:numId w:val="18"/>
        </w:numPr>
        <w:spacing w:line="240" w:lineRule="auto"/>
        <w:ind w:left="1077"/>
        <w:contextualSpacing w:val="0"/>
        <w:rPr>
          <w:rStyle w:val="Hyperlink"/>
          <w:rFonts w:ascii="Century Gothic" w:hAnsi="Century Gothic" w:cs="Arial"/>
          <w:color w:val="000000" w:themeColor="text1"/>
        </w:rPr>
      </w:pPr>
      <w:r w:rsidRPr="00135C11">
        <w:rPr>
          <w:rStyle w:val="Hyperlink"/>
          <w:rFonts w:ascii="Century Gothic" w:hAnsi="Century Gothic"/>
          <w:color w:val="000000" w:themeColor="text1"/>
        </w:rPr>
        <w:fldChar w:fldCharType="begin"/>
      </w:r>
      <w:r w:rsidRPr="00135C11">
        <w:rPr>
          <w:rStyle w:val="Hyperlink"/>
          <w:rFonts w:ascii="Century Gothic" w:hAnsi="Century Gothic"/>
          <w:color w:val="000000" w:themeColor="text1"/>
        </w:rPr>
        <w:instrText xml:space="preserve"> HYPERLINK  \l "_Principles_and_aims" </w:instrText>
      </w:r>
      <w:r w:rsidRPr="00135C11">
        <w:rPr>
          <w:rStyle w:val="Hyperlink"/>
          <w:rFonts w:ascii="Century Gothic" w:hAnsi="Century Gothic"/>
          <w:color w:val="000000" w:themeColor="text1"/>
        </w:rPr>
      </w:r>
      <w:r w:rsidRPr="00135C11">
        <w:rPr>
          <w:rStyle w:val="Hyperlink"/>
          <w:rFonts w:ascii="Century Gothic" w:hAnsi="Century Gothic"/>
          <w:color w:val="000000" w:themeColor="text1"/>
        </w:rPr>
        <w:fldChar w:fldCharType="separate"/>
      </w:r>
      <w:r w:rsidRPr="00135C11">
        <w:rPr>
          <w:rStyle w:val="Hyperlink"/>
          <w:rFonts w:ascii="Century Gothic" w:hAnsi="Century Gothic"/>
          <w:color w:val="000000" w:themeColor="text1"/>
        </w:rPr>
        <w:t>Principles and aims</w:t>
      </w:r>
    </w:p>
    <w:p w14:paraId="4370F945"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r w:rsidRPr="00135C11">
        <w:rPr>
          <w:rStyle w:val="Hyperlink"/>
          <w:rFonts w:ascii="Century Gothic" w:hAnsi="Century Gothic"/>
          <w:color w:val="000000" w:themeColor="text1"/>
        </w:rPr>
        <w:fldChar w:fldCharType="end"/>
      </w:r>
      <w:hyperlink w:anchor="_Roles_and_responsibilities" w:history="1">
        <w:r w:rsidRPr="00135C11">
          <w:rPr>
            <w:rStyle w:val="Hyperlink"/>
            <w:rFonts w:ascii="Century Gothic" w:hAnsi="Century Gothic" w:cs="Arial"/>
            <w:color w:val="000000" w:themeColor="text1"/>
          </w:rPr>
          <w:t>Roles and responsibilities</w:t>
        </w:r>
      </w:hyperlink>
      <w:r w:rsidRPr="00135C11">
        <w:rPr>
          <w:rFonts w:ascii="Century Gothic" w:hAnsi="Century Gothic" w:cs="Arial"/>
          <w:color w:val="000000" w:themeColor="text1"/>
        </w:rPr>
        <w:t xml:space="preserve"> </w:t>
      </w:r>
    </w:p>
    <w:p w14:paraId="6017A9E0"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Equality_objectives" w:history="1">
        <w:r w:rsidR="00135C11" w:rsidRPr="00135C11">
          <w:rPr>
            <w:rStyle w:val="Hyperlink"/>
            <w:rFonts w:ascii="Century Gothic" w:hAnsi="Century Gothic" w:cs="Arial"/>
            <w:color w:val="000000" w:themeColor="text1"/>
          </w:rPr>
          <w:t>Equality objectives</w:t>
        </w:r>
      </w:hyperlink>
      <w:r w:rsidR="00135C11" w:rsidRPr="00135C11">
        <w:rPr>
          <w:rFonts w:ascii="Century Gothic" w:hAnsi="Century Gothic" w:cs="Arial"/>
          <w:color w:val="000000" w:themeColor="text1"/>
        </w:rPr>
        <w:t xml:space="preserve"> </w:t>
      </w:r>
    </w:p>
    <w:p w14:paraId="06DCE01A"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Collecting_and_using" w:history="1">
        <w:r w:rsidR="00135C11" w:rsidRPr="00135C11">
          <w:rPr>
            <w:rStyle w:val="Hyperlink"/>
            <w:rFonts w:ascii="Century Gothic" w:hAnsi="Century Gothic" w:cs="Arial"/>
            <w:color w:val="000000" w:themeColor="text1"/>
          </w:rPr>
          <w:t>Collecting and using information</w:t>
        </w:r>
      </w:hyperlink>
    </w:p>
    <w:p w14:paraId="628E043C"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Publishing_information" w:history="1">
        <w:r w:rsidR="00135C11" w:rsidRPr="00135C11">
          <w:rPr>
            <w:rStyle w:val="Hyperlink"/>
            <w:rFonts w:ascii="Century Gothic" w:hAnsi="Century Gothic" w:cs="Arial"/>
            <w:color w:val="000000" w:themeColor="text1"/>
          </w:rPr>
          <w:t>Publishing information</w:t>
        </w:r>
      </w:hyperlink>
      <w:r w:rsidR="00135C11" w:rsidRPr="00135C11">
        <w:rPr>
          <w:rFonts w:ascii="Century Gothic" w:hAnsi="Century Gothic" w:cs="Arial"/>
          <w:color w:val="000000" w:themeColor="text1"/>
        </w:rPr>
        <w:t xml:space="preserve"> </w:t>
      </w:r>
    </w:p>
    <w:p w14:paraId="7D4553E0"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Promoting_equality" w:history="1">
        <w:r w:rsidR="00135C11" w:rsidRPr="00135C11">
          <w:rPr>
            <w:rStyle w:val="Hyperlink"/>
            <w:rFonts w:ascii="Century Gothic" w:hAnsi="Century Gothic" w:cs="Arial"/>
            <w:color w:val="000000" w:themeColor="text1"/>
          </w:rPr>
          <w:t>Promoting equality</w:t>
        </w:r>
      </w:hyperlink>
      <w:r w:rsidR="00135C11" w:rsidRPr="00135C11">
        <w:rPr>
          <w:rFonts w:ascii="Century Gothic" w:hAnsi="Century Gothic" w:cs="Arial"/>
          <w:color w:val="000000" w:themeColor="text1"/>
        </w:rPr>
        <w:t xml:space="preserve"> </w:t>
      </w:r>
    </w:p>
    <w:p w14:paraId="67AFAFA9"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Addressing_prejudice_related" w:history="1">
        <w:r w:rsidR="00135C11" w:rsidRPr="00135C11">
          <w:rPr>
            <w:rStyle w:val="Hyperlink"/>
            <w:rFonts w:ascii="Century Gothic" w:hAnsi="Century Gothic" w:cs="Arial"/>
            <w:color w:val="000000" w:themeColor="text1"/>
          </w:rPr>
          <w:t>Addressing prejudice related incidents</w:t>
        </w:r>
      </w:hyperlink>
    </w:p>
    <w:p w14:paraId="59F2C6D3"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Appeal_process" w:history="1">
        <w:r w:rsidR="00135C11" w:rsidRPr="00135C11">
          <w:rPr>
            <w:rStyle w:val="Hyperlink"/>
            <w:rFonts w:ascii="Century Gothic" w:hAnsi="Century Gothic" w:cs="Arial"/>
            <w:color w:val="000000" w:themeColor="text1"/>
          </w:rPr>
          <w:t>Appeal process</w:t>
        </w:r>
      </w:hyperlink>
      <w:r w:rsidR="00135C11" w:rsidRPr="00135C11">
        <w:rPr>
          <w:rFonts w:ascii="Century Gothic" w:hAnsi="Century Gothic" w:cs="Arial"/>
          <w:color w:val="000000" w:themeColor="text1"/>
        </w:rPr>
        <w:t xml:space="preserve"> </w:t>
      </w:r>
    </w:p>
    <w:p w14:paraId="51C28416"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Curriculum" w:history="1">
        <w:r w:rsidR="00135C11" w:rsidRPr="00135C11">
          <w:rPr>
            <w:rStyle w:val="Hyperlink"/>
            <w:rFonts w:ascii="Century Gothic" w:hAnsi="Century Gothic" w:cs="Arial"/>
            <w:color w:val="000000" w:themeColor="text1"/>
          </w:rPr>
          <w:t>Curriculum</w:t>
        </w:r>
      </w:hyperlink>
      <w:r w:rsidR="00135C11" w:rsidRPr="00135C11">
        <w:rPr>
          <w:rFonts w:ascii="Century Gothic" w:hAnsi="Century Gothic" w:cs="Arial"/>
          <w:color w:val="000000" w:themeColor="text1"/>
        </w:rPr>
        <w:t xml:space="preserve"> </w:t>
      </w:r>
    </w:p>
    <w:p w14:paraId="2E522E5D"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Monitoring_and_review" w:history="1">
        <w:r w:rsidR="00135C11" w:rsidRPr="00135C11">
          <w:rPr>
            <w:rStyle w:val="Hyperlink"/>
            <w:rFonts w:ascii="Century Gothic" w:hAnsi="Century Gothic" w:cs="Arial"/>
            <w:color w:val="000000" w:themeColor="text1"/>
          </w:rPr>
          <w:t>Monitoring and review</w:t>
        </w:r>
      </w:hyperlink>
      <w:r w:rsidR="00135C11" w:rsidRPr="00135C11">
        <w:rPr>
          <w:rFonts w:ascii="Century Gothic" w:hAnsi="Century Gothic" w:cs="Arial"/>
          <w:color w:val="000000" w:themeColor="text1"/>
        </w:rPr>
        <w:t xml:space="preserve"> </w:t>
      </w:r>
    </w:p>
    <w:p w14:paraId="21C96E9E" w14:textId="77777777" w:rsidR="00135C11" w:rsidRPr="00135C11" w:rsidRDefault="00135C11" w:rsidP="00135C11">
      <w:pPr>
        <w:spacing w:line="240" w:lineRule="auto"/>
        <w:rPr>
          <w:rFonts w:ascii="Century Gothic" w:hAnsi="Century Gothic" w:cs="Arial"/>
          <w:b/>
          <w:color w:val="000000" w:themeColor="text1"/>
        </w:rPr>
      </w:pPr>
    </w:p>
    <w:p w14:paraId="47A56C27" w14:textId="77777777" w:rsidR="00135C11" w:rsidRPr="00135C11" w:rsidRDefault="00135C11" w:rsidP="00135C11">
      <w:pPr>
        <w:spacing w:line="320" w:lineRule="exact"/>
        <w:rPr>
          <w:rFonts w:ascii="Century Gothic" w:hAnsi="Century Gothic" w:cs="Arial"/>
          <w:color w:val="000000" w:themeColor="text1"/>
        </w:rPr>
      </w:pPr>
    </w:p>
    <w:p w14:paraId="3032FC52" w14:textId="77777777" w:rsidR="00135C11" w:rsidRPr="00135C11" w:rsidRDefault="00135C11" w:rsidP="00135C11">
      <w:pPr>
        <w:rPr>
          <w:rFonts w:ascii="Century Gothic" w:hAnsi="Century Gothic" w:cs="Arial"/>
          <w:color w:val="000000" w:themeColor="text1"/>
        </w:rPr>
      </w:pPr>
    </w:p>
    <w:p w14:paraId="2F069BB3" w14:textId="77777777" w:rsidR="00135C11" w:rsidRPr="00135C11" w:rsidRDefault="00135C11" w:rsidP="00135C11">
      <w:pPr>
        <w:rPr>
          <w:rFonts w:ascii="Century Gothic" w:hAnsi="Century Gothic" w:cs="Arial"/>
          <w:color w:val="000000" w:themeColor="text1"/>
        </w:rPr>
      </w:pPr>
      <w:r w:rsidRPr="00135C11">
        <w:rPr>
          <w:rFonts w:ascii="Century Gothic" w:hAnsi="Century Gothic" w:cs="Arial"/>
          <w:color w:val="000000" w:themeColor="text1"/>
        </w:rPr>
        <w:br w:type="page"/>
      </w:r>
      <w:bookmarkStart w:id="7" w:name="_Statement_of_Intent"/>
      <w:bookmarkEnd w:id="7"/>
    </w:p>
    <w:p w14:paraId="2B8FE790" w14:textId="77777777" w:rsidR="00135C11" w:rsidRPr="00135C11" w:rsidRDefault="00135C11" w:rsidP="00135C11">
      <w:pPr>
        <w:pStyle w:val="Heading2"/>
        <w:numPr>
          <w:ilvl w:val="0"/>
          <w:numId w:val="0"/>
        </w:numPr>
        <w:spacing w:after="200"/>
        <w:ind w:left="578" w:hanging="578"/>
        <w:jc w:val="both"/>
        <w:rPr>
          <w:rFonts w:ascii="Century Gothic" w:hAnsi="Century Gothic" w:cstheme="minorHAnsi"/>
          <w:b/>
          <w:color w:val="000000" w:themeColor="text1"/>
          <w:sz w:val="22"/>
          <w:szCs w:val="22"/>
        </w:rPr>
      </w:pPr>
      <w:bookmarkStart w:id="8" w:name="_Statement_of_intent_1"/>
      <w:bookmarkStart w:id="9" w:name="statment"/>
      <w:bookmarkStart w:id="10" w:name="statement"/>
      <w:bookmarkEnd w:id="8"/>
      <w:r w:rsidRPr="00135C11">
        <w:rPr>
          <w:rFonts w:ascii="Century Gothic" w:hAnsi="Century Gothic" w:cstheme="minorHAnsi"/>
          <w:b/>
          <w:color w:val="000000" w:themeColor="text1"/>
          <w:sz w:val="22"/>
          <w:szCs w:val="22"/>
        </w:rPr>
        <w:lastRenderedPageBreak/>
        <w:t xml:space="preserve">Statement of intent </w:t>
      </w:r>
    </w:p>
    <w:bookmarkEnd w:id="9"/>
    <w:bookmarkEnd w:id="10"/>
    <w:p w14:paraId="4AB3485E" w14:textId="77777777" w:rsidR="00135C11" w:rsidRPr="00135C11" w:rsidRDefault="00135C11" w:rsidP="00135C11">
      <w:pPr>
        <w:jc w:val="both"/>
        <w:rPr>
          <w:rFonts w:ascii="Century Gothic" w:hAnsi="Century Gothic"/>
          <w:color w:val="000000" w:themeColor="text1"/>
        </w:rPr>
      </w:pPr>
      <w:r w:rsidRPr="00135C11">
        <w:rPr>
          <w:rFonts w:ascii="Century Gothic" w:hAnsi="Century Gothic"/>
          <w:b/>
          <w:color w:val="000000" w:themeColor="text1"/>
          <w:u w:val="single" w:color="FFD006"/>
        </w:rPr>
        <w:t>Name of school</w:t>
      </w:r>
      <w:r w:rsidRPr="00135C11">
        <w:rPr>
          <w:rFonts w:ascii="Century Gothic" w:hAnsi="Century Gothic"/>
          <w:color w:val="000000" w:themeColor="text1"/>
        </w:rPr>
        <w:t xml:space="preserve"> </w:t>
      </w:r>
      <w:bookmarkStart w:id="11" w:name="_Hlk522263516"/>
      <w:r w:rsidRPr="00135C11">
        <w:rPr>
          <w:rFonts w:ascii="Century Gothic" w:hAnsi="Century Gothic"/>
          <w:color w:val="000000" w:themeColor="text1"/>
        </w:rPr>
        <w:t>recognises that certain groups in society have historically been disadvantaged because of unlawful discrimination they have faced due to their race, sex, disability, gender reassignment, marriage/civil partnership, religion/belief, sexual orientation or age</w:t>
      </w:r>
      <w:bookmarkEnd w:id="11"/>
      <w:r w:rsidRPr="00135C11">
        <w:rPr>
          <w:rFonts w:ascii="Century Gothic" w:hAnsi="Century Gothic"/>
          <w:color w:val="000000" w:themeColor="text1"/>
        </w:rPr>
        <w:t xml:space="preserve">. </w:t>
      </w:r>
    </w:p>
    <w:p w14:paraId="5AEC1BCF" w14:textId="77777777" w:rsidR="00135C11" w:rsidRPr="00135C11" w:rsidRDefault="00135C11" w:rsidP="00135C11">
      <w:pPr>
        <w:jc w:val="both"/>
        <w:rPr>
          <w:rFonts w:ascii="Century Gothic" w:hAnsi="Century Gothic"/>
          <w:color w:val="000000" w:themeColor="text1"/>
        </w:rPr>
      </w:pPr>
      <w:r w:rsidRPr="00135C11">
        <w:rPr>
          <w:rFonts w:ascii="Century Gothic" w:hAnsi="Century Gothic"/>
          <w:color w:val="000000" w:themeColor="text1"/>
        </w:rPr>
        <w:t xml:space="preserve">This policy will put in place a range of actions to eliminate prejudice, unlawful discrimination and victimisation within the school community and workforce. </w:t>
      </w:r>
    </w:p>
    <w:p w14:paraId="2EF3AFFD" w14:textId="77777777" w:rsidR="00135C11" w:rsidRPr="00135C11" w:rsidRDefault="00135C11" w:rsidP="00135C11">
      <w:pPr>
        <w:jc w:val="both"/>
        <w:rPr>
          <w:rFonts w:ascii="Century Gothic" w:hAnsi="Century Gothic"/>
          <w:color w:val="000000" w:themeColor="text1"/>
        </w:rPr>
      </w:pPr>
    </w:p>
    <w:p w14:paraId="55B343F1" w14:textId="77777777" w:rsidR="00135C11" w:rsidRPr="00135C11" w:rsidRDefault="00135C11" w:rsidP="00135C11">
      <w:pPr>
        <w:ind w:left="417"/>
        <w:jc w:val="both"/>
        <w:rPr>
          <w:rFonts w:ascii="Century Gothic" w:hAnsi="Century Gothic"/>
          <w:color w:val="000000" w:themeColor="text1"/>
        </w:rPr>
      </w:pPr>
    </w:p>
    <w:p w14:paraId="594255E2" w14:textId="77777777" w:rsidR="00135C11" w:rsidRPr="00135C11" w:rsidRDefault="00135C11" w:rsidP="00135C11">
      <w:pPr>
        <w:ind w:left="417"/>
        <w:jc w:val="both"/>
        <w:rPr>
          <w:rFonts w:ascii="Century Gothic" w:hAnsi="Century Gothic"/>
          <w:color w:val="000000" w:themeColor="text1"/>
        </w:rPr>
      </w:pPr>
    </w:p>
    <w:p w14:paraId="60E59711" w14:textId="77777777" w:rsidR="00135C11" w:rsidRPr="00135C11" w:rsidRDefault="00135C11" w:rsidP="00135C11">
      <w:pPr>
        <w:ind w:left="417"/>
        <w:jc w:val="both"/>
        <w:rPr>
          <w:rFonts w:ascii="Century Gothic" w:hAnsi="Century Gothic"/>
          <w:color w:val="000000" w:themeColor="text1"/>
        </w:rPr>
      </w:pPr>
      <w:r w:rsidRPr="00135C11">
        <w:rPr>
          <w:rFonts w:ascii="Century Gothic" w:hAnsi="Century Gothic"/>
          <w:color w:val="000000" w:themeColor="text1"/>
        </w:rPr>
        <w:t xml:space="preserve">   </w:t>
      </w:r>
    </w:p>
    <w:p w14:paraId="62E14A74" w14:textId="77777777" w:rsidR="00135C11" w:rsidRPr="00135C11" w:rsidRDefault="00135C11" w:rsidP="00135C11">
      <w:pPr>
        <w:ind w:left="417"/>
        <w:jc w:val="both"/>
        <w:rPr>
          <w:rFonts w:ascii="Century Gothic" w:hAnsi="Century Gothic"/>
          <w:color w:val="000000" w:themeColor="text1"/>
        </w:rPr>
      </w:pPr>
    </w:p>
    <w:p w14:paraId="77F237D4" w14:textId="77777777" w:rsidR="00135C11" w:rsidRPr="00135C11" w:rsidRDefault="00135C11" w:rsidP="00135C11">
      <w:pPr>
        <w:ind w:left="417"/>
        <w:jc w:val="both"/>
        <w:rPr>
          <w:rFonts w:ascii="Century Gothic" w:hAnsi="Century Gothic"/>
          <w:color w:val="000000" w:themeColor="text1"/>
        </w:rPr>
      </w:pPr>
    </w:p>
    <w:p w14:paraId="2254AB3D" w14:textId="77777777" w:rsidR="00135C11" w:rsidRPr="00135C11" w:rsidRDefault="00135C11" w:rsidP="00135C11">
      <w:pPr>
        <w:ind w:left="417"/>
        <w:jc w:val="both"/>
        <w:rPr>
          <w:rFonts w:ascii="Century Gothic" w:hAnsi="Century Gothic"/>
          <w:color w:val="000000" w:themeColor="text1"/>
        </w:rPr>
      </w:pPr>
    </w:p>
    <w:p w14:paraId="253A1A4E" w14:textId="77777777" w:rsidR="00135C11" w:rsidRPr="00135C11" w:rsidRDefault="00135C11" w:rsidP="00135C11">
      <w:pPr>
        <w:ind w:left="417"/>
        <w:jc w:val="both"/>
        <w:rPr>
          <w:rFonts w:ascii="Century Gothic" w:hAnsi="Century Gothic"/>
          <w:color w:val="000000" w:themeColor="text1"/>
        </w:rPr>
      </w:pPr>
    </w:p>
    <w:p w14:paraId="410FDF54" w14:textId="77777777" w:rsidR="00135C11" w:rsidRPr="00135C11" w:rsidRDefault="00135C11" w:rsidP="00135C11">
      <w:pPr>
        <w:ind w:left="417"/>
        <w:jc w:val="both"/>
        <w:rPr>
          <w:rFonts w:ascii="Century Gothic" w:hAnsi="Century Gothic"/>
          <w:color w:val="000000" w:themeColor="text1"/>
        </w:rPr>
      </w:pPr>
    </w:p>
    <w:p w14:paraId="18F76DD0" w14:textId="77777777" w:rsidR="00135C11" w:rsidRPr="00135C11" w:rsidRDefault="00135C11" w:rsidP="00135C11">
      <w:pPr>
        <w:ind w:left="417"/>
        <w:jc w:val="both"/>
        <w:rPr>
          <w:rFonts w:ascii="Century Gothic" w:hAnsi="Century Gothic"/>
          <w:color w:val="000000" w:themeColor="text1"/>
        </w:rPr>
      </w:pPr>
    </w:p>
    <w:p w14:paraId="673C854C" w14:textId="77777777" w:rsidR="00135C11" w:rsidRPr="00135C11" w:rsidRDefault="00135C11" w:rsidP="00135C11">
      <w:pPr>
        <w:jc w:val="both"/>
        <w:rPr>
          <w:rFonts w:ascii="Century Gothic" w:hAnsi="Century Gothic"/>
          <w:color w:val="000000" w:themeColor="text1"/>
        </w:rPr>
        <w:sectPr w:rsidR="00135C11" w:rsidRPr="00135C11" w:rsidSect="00135C11">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17D2B26B" w14:textId="77777777" w:rsidR="00135C11" w:rsidRPr="00135C11" w:rsidRDefault="00135C11" w:rsidP="00135C11">
      <w:pPr>
        <w:pStyle w:val="Heading10"/>
        <w:rPr>
          <w:rFonts w:ascii="Century Gothic" w:hAnsi="Century Gothic"/>
          <w:b w:val="0"/>
          <w:color w:val="000000" w:themeColor="text1"/>
          <w:sz w:val="22"/>
          <w:szCs w:val="22"/>
        </w:rPr>
      </w:pPr>
      <w:bookmarkStart w:id="12" w:name="_Legal_framework_1"/>
      <w:bookmarkEnd w:id="12"/>
      <w:r w:rsidRPr="00135C11">
        <w:rPr>
          <w:rFonts w:ascii="Century Gothic" w:hAnsi="Century Gothic"/>
          <w:color w:val="000000" w:themeColor="text1"/>
          <w:sz w:val="22"/>
          <w:szCs w:val="22"/>
        </w:rPr>
        <w:lastRenderedPageBreak/>
        <w:t>Legal framework</w:t>
      </w:r>
    </w:p>
    <w:p w14:paraId="09136560" w14:textId="77777777" w:rsidR="00135C11" w:rsidRPr="00135C11" w:rsidRDefault="00135C11" w:rsidP="00135C11">
      <w:pPr>
        <w:pStyle w:val="TSB-Level2Numbers"/>
        <w:numPr>
          <w:ilvl w:val="1"/>
          <w:numId w:val="6"/>
        </w:numPr>
        <w:jc w:val="left"/>
        <w:outlineLvl w:val="9"/>
        <w:rPr>
          <w:rFonts w:ascii="Century Gothic" w:hAnsi="Century Gothic"/>
          <w:color w:val="000000" w:themeColor="text1"/>
          <w:szCs w:val="22"/>
        </w:rPr>
      </w:pPr>
      <w:r w:rsidRPr="00135C11">
        <w:rPr>
          <w:rFonts w:ascii="Century Gothic" w:hAnsi="Century Gothic"/>
          <w:color w:val="000000" w:themeColor="text1"/>
          <w:szCs w:val="22"/>
        </w:rPr>
        <w:t xml:space="preserve">This policy has due regard to all relevant legislation and statutory guidance including, but not limited to, the following: </w:t>
      </w:r>
    </w:p>
    <w:p w14:paraId="4824D7AF"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Human Rights Act 1998</w:t>
      </w:r>
    </w:p>
    <w:p w14:paraId="48733D2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Special Educational Needs and Disability Regulations 2014</w:t>
      </w:r>
    </w:p>
    <w:p w14:paraId="07FEB0B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Education and Inspections Act 2006</w:t>
      </w:r>
    </w:p>
    <w:p w14:paraId="50CDBC8F"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Act 2010</w:t>
      </w:r>
    </w:p>
    <w:p w14:paraId="7FC7AB9D" w14:textId="7CA50400"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Act 2010 (Specific Duties) Regulations 2011</w:t>
      </w:r>
    </w:p>
    <w:p w14:paraId="2A0F94E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Act 2010 (Specific Duties and Public Authorities) Regulations 2017</w:t>
      </w:r>
    </w:p>
    <w:p w14:paraId="32D141B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Public Sector Equality Duty (PSED)</w:t>
      </w:r>
    </w:p>
    <w:p w14:paraId="20D28F07"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General Data Protection Regulation (GDPR)</w:t>
      </w:r>
    </w:p>
    <w:p w14:paraId="48C5C3F4" w14:textId="77777777" w:rsidR="00135C11" w:rsidRPr="00135C11" w:rsidRDefault="00135C11" w:rsidP="00135C11">
      <w:pPr>
        <w:pStyle w:val="TSB-Level2Numbers"/>
        <w:numPr>
          <w:ilvl w:val="1"/>
          <w:numId w:val="6"/>
        </w:numPr>
        <w:jc w:val="left"/>
        <w:outlineLvl w:val="9"/>
        <w:rPr>
          <w:rFonts w:ascii="Century Gothic" w:hAnsi="Century Gothic"/>
          <w:color w:val="000000" w:themeColor="text1"/>
          <w:szCs w:val="22"/>
        </w:rPr>
      </w:pPr>
      <w:r w:rsidRPr="00135C11">
        <w:rPr>
          <w:rFonts w:ascii="Century Gothic" w:hAnsi="Century Gothic"/>
          <w:color w:val="000000" w:themeColor="text1"/>
          <w:szCs w:val="22"/>
        </w:rPr>
        <w:t xml:space="preserve">This policy also has due regard for non-statutory guidance, including the following: </w:t>
      </w:r>
    </w:p>
    <w:p w14:paraId="65FB3B4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DfE (2014) ’The Equality Act 2010 and schools’</w:t>
      </w:r>
    </w:p>
    <w:p w14:paraId="721D4816" w14:textId="77777777" w:rsidR="00135C11" w:rsidRPr="00135C11" w:rsidRDefault="00135C11" w:rsidP="00135C11">
      <w:pPr>
        <w:pStyle w:val="TSB-Level2Numbers"/>
        <w:numPr>
          <w:ilvl w:val="1"/>
          <w:numId w:val="6"/>
        </w:numPr>
        <w:jc w:val="left"/>
        <w:outlineLvl w:val="9"/>
        <w:rPr>
          <w:rFonts w:ascii="Century Gothic" w:hAnsi="Century Gothic"/>
          <w:color w:val="000000" w:themeColor="text1"/>
          <w:szCs w:val="22"/>
        </w:rPr>
      </w:pPr>
      <w:r w:rsidRPr="00135C11">
        <w:rPr>
          <w:rFonts w:ascii="Century Gothic" w:hAnsi="Century Gothic"/>
          <w:color w:val="000000" w:themeColor="text1"/>
          <w:szCs w:val="22"/>
        </w:rPr>
        <w:t>This policy operates in conjunction with the following school policies:</w:t>
      </w:r>
    </w:p>
    <w:p w14:paraId="68637085" w14:textId="77777777" w:rsidR="00135C11" w:rsidRPr="00135C11" w:rsidRDefault="00135C11" w:rsidP="00135C11">
      <w:pPr>
        <w:pStyle w:val="TSB-PolicyBullets"/>
        <w:spacing w:line="240" w:lineRule="auto"/>
        <w:ind w:left="2137" w:hanging="357"/>
        <w:rPr>
          <w:rFonts w:ascii="Century Gothic" w:hAnsi="Century Gothic"/>
          <w:color w:val="000000" w:themeColor="text1"/>
          <w:u w:val="single"/>
        </w:rPr>
      </w:pPr>
      <w:r w:rsidRPr="00135C11">
        <w:rPr>
          <w:rFonts w:ascii="Century Gothic" w:hAnsi="Century Gothic"/>
          <w:b/>
          <w:color w:val="000000" w:themeColor="text1"/>
          <w:u w:val="single"/>
        </w:rPr>
        <w:t xml:space="preserve">Admissions Policy </w:t>
      </w:r>
    </w:p>
    <w:p w14:paraId="49E09A53" w14:textId="77777777" w:rsidR="00135C11" w:rsidRPr="00135C11" w:rsidRDefault="00135C11" w:rsidP="00135C11">
      <w:pPr>
        <w:pStyle w:val="TSB-PolicyBullets"/>
        <w:spacing w:line="240" w:lineRule="auto"/>
        <w:ind w:left="2137" w:hanging="357"/>
        <w:rPr>
          <w:rFonts w:ascii="Century Gothic" w:hAnsi="Century Gothic"/>
          <w:b/>
          <w:color w:val="000000" w:themeColor="text1"/>
          <w:u w:val="single"/>
        </w:rPr>
      </w:pPr>
      <w:r w:rsidRPr="00135C11">
        <w:rPr>
          <w:rFonts w:ascii="Century Gothic" w:hAnsi="Century Gothic"/>
          <w:b/>
          <w:color w:val="000000" w:themeColor="text1"/>
          <w:u w:val="single"/>
        </w:rPr>
        <w:t>Complaints Procedures Policy</w:t>
      </w:r>
    </w:p>
    <w:p w14:paraId="488D2D3B" w14:textId="77777777" w:rsidR="00135C11" w:rsidRPr="00135C11" w:rsidRDefault="00135C11" w:rsidP="00135C11">
      <w:pPr>
        <w:pStyle w:val="TSB-PolicyBullets"/>
        <w:spacing w:line="240" w:lineRule="auto"/>
        <w:ind w:left="2137" w:hanging="357"/>
        <w:rPr>
          <w:rFonts w:ascii="Century Gothic" w:hAnsi="Century Gothic"/>
          <w:color w:val="000000" w:themeColor="text1"/>
          <w:u w:val="single"/>
        </w:rPr>
      </w:pPr>
      <w:r w:rsidRPr="00135C11">
        <w:rPr>
          <w:rFonts w:ascii="Century Gothic" w:hAnsi="Century Gothic"/>
          <w:b/>
          <w:color w:val="000000" w:themeColor="text1"/>
          <w:u w:val="single"/>
        </w:rPr>
        <w:t xml:space="preserve">Equal Opportunities Policy </w:t>
      </w:r>
    </w:p>
    <w:p w14:paraId="6B0D0A6C"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Equality Act 2010 provides a modern, single legal framework with three broad duties:</w:t>
      </w:r>
    </w:p>
    <w:p w14:paraId="6E55B0D7"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Eliminate discrimination</w:t>
      </w:r>
    </w:p>
    <w:p w14:paraId="686E1F9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Advance equality of opportunity</w:t>
      </w:r>
    </w:p>
    <w:p w14:paraId="63BFBF7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Foster good relations</w:t>
      </w:r>
    </w:p>
    <w:p w14:paraId="4E206A7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For the purpose of this policy, the Equality Act 2010 will be referred to as ‘the Act’.</w:t>
      </w:r>
    </w:p>
    <w:p w14:paraId="4CA0CF8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fully understands the principles of the Act and the work needed to ensure that those with protected characteristics are not discriminated against and are given equal opportunities. </w:t>
      </w:r>
    </w:p>
    <w:p w14:paraId="5045B998"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Protected characteristics, under the Act, are as follows:</w:t>
      </w:r>
    </w:p>
    <w:p w14:paraId="1DEDD05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Age</w:t>
      </w:r>
    </w:p>
    <w:p w14:paraId="475F58F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Disability</w:t>
      </w:r>
    </w:p>
    <w:p w14:paraId="2FE441F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lastRenderedPageBreak/>
        <w:t>Race, colour, nationality or ethnicity</w:t>
      </w:r>
    </w:p>
    <w:p w14:paraId="62C3527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Sex </w:t>
      </w:r>
    </w:p>
    <w:p w14:paraId="7A4029E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Gender reassignment</w:t>
      </w:r>
    </w:p>
    <w:p w14:paraId="0A944801"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Maternity and pregnancy</w:t>
      </w:r>
    </w:p>
    <w:p w14:paraId="759B141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Religion and belief</w:t>
      </w:r>
    </w:p>
    <w:p w14:paraId="595FC73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Sexual orientation</w:t>
      </w:r>
    </w:p>
    <w:p w14:paraId="4A6AA727" w14:textId="77777777" w:rsidR="00135C11" w:rsidRPr="00135C11" w:rsidRDefault="00135C11" w:rsidP="00135C11">
      <w:pPr>
        <w:pStyle w:val="TSB-PolicyBullets"/>
        <w:spacing w:before="120"/>
        <w:ind w:left="2137" w:hanging="357"/>
        <w:rPr>
          <w:rFonts w:ascii="Century Gothic" w:hAnsi="Century Gothic"/>
          <w:color w:val="000000" w:themeColor="text1"/>
        </w:rPr>
      </w:pPr>
      <w:r w:rsidRPr="00135C11">
        <w:rPr>
          <w:rFonts w:ascii="Century Gothic" w:hAnsi="Century Gothic"/>
          <w:color w:val="000000" w:themeColor="text1"/>
        </w:rPr>
        <w:t xml:space="preserve">Marriage and civil partnership </w:t>
      </w:r>
    </w:p>
    <w:p w14:paraId="789B6E0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Act makes it unlawful for the responsible body of a school to discriminate against, harass or victimise a pupil or potential pupil:</w:t>
      </w:r>
    </w:p>
    <w:p w14:paraId="7DD86A0A"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 relation to admissions.</w:t>
      </w:r>
    </w:p>
    <w:p w14:paraId="7268F2B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 the way it provides education for pupils.</w:t>
      </w:r>
    </w:p>
    <w:p w14:paraId="3F339A9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 the way it provides pupils access to any benefit, facility or service.</w:t>
      </w:r>
    </w:p>
    <w:p w14:paraId="39BF4DE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By excluding a pupil or subjecting them to any other detriment.</w:t>
      </w:r>
    </w:p>
    <w:p w14:paraId="3434B1F7" w14:textId="68A31623"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responsible body for the school is the </w:t>
      </w:r>
      <w:r>
        <w:rPr>
          <w:rFonts w:ascii="Century Gothic" w:hAnsi="Century Gothic"/>
          <w:color w:val="000000" w:themeColor="text1"/>
          <w:szCs w:val="22"/>
        </w:rPr>
        <w:t>Management Committee</w:t>
      </w:r>
      <w:r w:rsidRPr="00135C11">
        <w:rPr>
          <w:rFonts w:ascii="Century Gothic" w:hAnsi="Century Gothic"/>
          <w:color w:val="000000" w:themeColor="text1"/>
          <w:szCs w:val="22"/>
        </w:rPr>
        <w:t xml:space="preserve"> or the LA. </w:t>
      </w:r>
    </w:p>
    <w:p w14:paraId="649C2CAA"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school’s liability not to discriminate, harass or victimise does not end when a pupil has left the school, but will apply to subsequent actions connected to the previous relationship between school and pupil, such as the provision of references on former pupils or access to “old pupils” communications and activities</w:t>
      </w:r>
    </w:p>
    <w:p w14:paraId="566A7117" w14:textId="77777777" w:rsidR="00135C11" w:rsidRPr="00135C11" w:rsidRDefault="00135C11" w:rsidP="00135C11">
      <w:pPr>
        <w:pStyle w:val="TSB-Level1Numbers"/>
        <w:rPr>
          <w:rFonts w:ascii="Century Gothic" w:hAnsi="Century Gothic" w:cs="Arial"/>
          <w:color w:val="000000" w:themeColor="text1"/>
          <w:szCs w:val="22"/>
        </w:rPr>
      </w:pPr>
      <w:r w:rsidRPr="00135C11">
        <w:rPr>
          <w:rFonts w:ascii="Century Gothic" w:eastAsia="Calibri" w:hAnsi="Century Gothic" w:cs="Arial"/>
          <w:color w:val="000000" w:themeColor="text1"/>
          <w:szCs w:val="22"/>
        </w:rPr>
        <w:t>The school will promote equality of opportunity for all staff and job applicants and will work in line with the Equal Opportunities and Dignity at Work Policy.</w:t>
      </w:r>
    </w:p>
    <w:p w14:paraId="4C815872" w14:textId="77777777" w:rsidR="00135C11" w:rsidRPr="00135C11" w:rsidRDefault="00135C11" w:rsidP="00135C11">
      <w:pPr>
        <w:pStyle w:val="Heading10"/>
        <w:numPr>
          <w:ilvl w:val="0"/>
          <w:numId w:val="19"/>
        </w:numPr>
        <w:spacing w:before="240"/>
        <w:jc w:val="left"/>
        <w:rPr>
          <w:rFonts w:ascii="Century Gothic" w:hAnsi="Century Gothic"/>
          <w:color w:val="000000" w:themeColor="text1"/>
          <w:sz w:val="22"/>
          <w:szCs w:val="22"/>
        </w:rPr>
      </w:pPr>
      <w:bookmarkStart w:id="13" w:name="_Principles_and_aims"/>
      <w:bookmarkStart w:id="14" w:name="Subsection2"/>
      <w:bookmarkEnd w:id="13"/>
      <w:r w:rsidRPr="00135C11">
        <w:rPr>
          <w:rFonts w:ascii="Century Gothic" w:hAnsi="Century Gothic"/>
          <w:color w:val="000000" w:themeColor="text1"/>
          <w:sz w:val="22"/>
          <w:szCs w:val="22"/>
        </w:rPr>
        <w:t xml:space="preserve">Principles and aims </w:t>
      </w:r>
    </w:p>
    <w:p w14:paraId="192AE62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We see all learners and potential learners, and their parents, as of equal value, regardless of any protected characteristic.</w:t>
      </w:r>
    </w:p>
    <w:p w14:paraId="1DCB5C3A"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Our policies, procedures and activities will not discriminate but must nevertheless take account of differences in life-experience, outlook and background, and in the kinds of barriers and disadvantages which people may face in relation to any protected characteristic.</w:t>
      </w:r>
    </w:p>
    <w:p w14:paraId="1D9DE78D"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promote race equality and have due regard to eliminating unlawful racial discrimination, promoting equality of opportunity and good relations between people of different racial groups.</w:t>
      </w:r>
    </w:p>
    <w:p w14:paraId="4DC8D4D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lastRenderedPageBreak/>
        <w:t xml:space="preserve">The school will promote disability equality, ensuring equality of opportunity, eliminating unlawful discrimination and disability-related harassment and encouraging participation by disabled people in public life. </w:t>
      </w:r>
    </w:p>
    <w:p w14:paraId="2C99A33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promote gender equality by eliminating unlawful discrimination and </w:t>
      </w:r>
      <w:proofErr w:type="gramStart"/>
      <w:r w:rsidRPr="00135C11">
        <w:rPr>
          <w:rFonts w:ascii="Century Gothic" w:hAnsi="Century Gothic"/>
          <w:color w:val="000000" w:themeColor="text1"/>
          <w:szCs w:val="22"/>
        </w:rPr>
        <w:t>harassment, and</w:t>
      </w:r>
      <w:proofErr w:type="gramEnd"/>
      <w:r w:rsidRPr="00135C11">
        <w:rPr>
          <w:rFonts w:ascii="Century Gothic" w:hAnsi="Century Gothic"/>
          <w:color w:val="000000" w:themeColor="text1"/>
          <w:szCs w:val="22"/>
        </w:rPr>
        <w:t xml:space="preserve"> promote the equality of opportunity between men and women, girls and boys.</w:t>
      </w:r>
    </w:p>
    <w:p w14:paraId="1D17DC9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Transgender people are explicitly covered by the PSED. For the purposes of this policy, the term ‘transgender’ refers to an individual whose gender expression or identity is different from that traditionally associated with the sex they were assigned at birth. </w:t>
      </w:r>
    </w:p>
    <w:p w14:paraId="37762B4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respect the confidentiality of those seeking gender reassignment and will provide a supportive environment within the community. </w:t>
      </w:r>
    </w:p>
    <w:p w14:paraId="4B6712E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is opposed to all forms of prejudice and recognises that children and young people who experience any form of prejudice-related discrimination may fare less well in the education system. </w:t>
      </w:r>
    </w:p>
    <w:p w14:paraId="4C4C955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ensure that all staff comply with the appropriate equality legislation and regulations.</w:t>
      </w:r>
    </w:p>
    <w:p w14:paraId="3109DC4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school’s </w:t>
      </w:r>
      <w:r w:rsidRPr="00135C11">
        <w:rPr>
          <w:rFonts w:ascii="Century Gothic" w:hAnsi="Century Gothic"/>
          <w:b/>
          <w:color w:val="000000" w:themeColor="text1"/>
          <w:szCs w:val="22"/>
          <w:u w:val="single"/>
        </w:rPr>
        <w:t>Admissions Policy</w:t>
      </w:r>
      <w:r w:rsidRPr="00135C11">
        <w:rPr>
          <w:rFonts w:ascii="Century Gothic" w:hAnsi="Century Gothic"/>
          <w:color w:val="000000" w:themeColor="text1"/>
          <w:szCs w:val="22"/>
        </w:rPr>
        <w:t xml:space="preserve"> will not discriminate against any protected characteristic in any way.</w:t>
      </w:r>
    </w:p>
    <w:p w14:paraId="6254A06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w:t>
      </w:r>
    </w:p>
    <w:p w14:paraId="639A7EFC" w14:textId="5CBAC0CE"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staff are aware of their responsibilities, given necessary training and support, and report progress to the </w:t>
      </w:r>
      <w:r>
        <w:rPr>
          <w:rFonts w:ascii="Century Gothic" w:hAnsi="Century Gothic"/>
          <w:b/>
          <w:color w:val="000000" w:themeColor="text1"/>
          <w:u w:val="single"/>
        </w:rPr>
        <w:t>Management Committee</w:t>
      </w:r>
      <w:r w:rsidRPr="00135C11">
        <w:rPr>
          <w:rFonts w:ascii="Century Gothic" w:hAnsi="Century Gothic"/>
          <w:color w:val="000000" w:themeColor="text1"/>
        </w:rPr>
        <w:t>.</w:t>
      </w:r>
    </w:p>
    <w:p w14:paraId="3906752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the recording and reporting of equality and diversity is sufficiently scrutinised.</w:t>
      </w:r>
    </w:p>
    <w:p w14:paraId="47C8DFFC"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Foster positive attitudes and relationships, a shared sense of cohesion and belonging, and ensure this is promoted in our policies, procedures and activities. </w:t>
      </w:r>
    </w:p>
    <w:p w14:paraId="0045B4B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Observe good equalities practice in staff recruitment, retention and development, and ensure that all policies and procedures benefit all employees and potential employees regardless of any protected characteristic, and with full respect for legal rights relating to pregnancy and maternity. </w:t>
      </w:r>
    </w:p>
    <w:p w14:paraId="0D31C49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Reduce and remove inequalities and barriers that already exist.</w:t>
      </w:r>
    </w:p>
    <w:p w14:paraId="494FA9FA"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Engage with a range of groups and individuals to ensure that those who are affected by a policy, procedure or activity are </w:t>
      </w:r>
      <w:r w:rsidRPr="00135C11">
        <w:rPr>
          <w:rFonts w:ascii="Century Gothic" w:hAnsi="Century Gothic"/>
          <w:color w:val="000000" w:themeColor="text1"/>
        </w:rPr>
        <w:lastRenderedPageBreak/>
        <w:t>consulted and involved in the design of new policies, and in the review of existing ones.</w:t>
      </w:r>
    </w:p>
    <w:p w14:paraId="1038AAD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that policies, procedures and activities benefit </w:t>
      </w:r>
      <w:proofErr w:type="gramStart"/>
      <w:r w:rsidRPr="00135C11">
        <w:rPr>
          <w:rFonts w:ascii="Century Gothic" w:hAnsi="Century Gothic"/>
          <w:color w:val="000000" w:themeColor="text1"/>
        </w:rPr>
        <w:t>society as a whole, both</w:t>
      </w:r>
      <w:proofErr w:type="gramEnd"/>
      <w:r w:rsidRPr="00135C11">
        <w:rPr>
          <w:rFonts w:ascii="Century Gothic" w:hAnsi="Century Gothic"/>
          <w:color w:val="000000" w:themeColor="text1"/>
        </w:rPr>
        <w:t xml:space="preserve"> locally and nationally, by fostering greater social cohesion, and greater participation in the public life of everyone, regardless of any protected characteristic. </w:t>
      </w:r>
    </w:p>
    <w:p w14:paraId="68FF9CA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staff promote an inclusive and collaborative ethos in the school, challenging inappropriate language and behaviour, responding appropriately to incidents of discrimination and harassment, and showing appropriate support for pupils with additional needs, maintaining a good level of awareness of issues surrounding equality. </w:t>
      </w:r>
    </w:p>
    <w:p w14:paraId="312A8220"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5" w:name="_Roles_and_responsibilities"/>
      <w:bookmarkEnd w:id="14"/>
      <w:bookmarkEnd w:id="15"/>
      <w:r w:rsidRPr="00135C11">
        <w:rPr>
          <w:rFonts w:ascii="Century Gothic" w:hAnsi="Century Gothic"/>
          <w:color w:val="000000" w:themeColor="text1"/>
          <w:sz w:val="22"/>
          <w:szCs w:val="22"/>
        </w:rPr>
        <w:t>Roles and responsibilities</w:t>
      </w:r>
    </w:p>
    <w:p w14:paraId="46CEC0F8" w14:textId="536E31CE"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w:t>
      </w:r>
      <w:r>
        <w:rPr>
          <w:rFonts w:ascii="Century Gothic" w:hAnsi="Century Gothic"/>
          <w:color w:val="000000" w:themeColor="text1"/>
          <w:szCs w:val="22"/>
        </w:rPr>
        <w:t>Management Committee</w:t>
      </w:r>
      <w:r w:rsidRPr="00135C11">
        <w:rPr>
          <w:rFonts w:ascii="Century Gothic" w:hAnsi="Century Gothic"/>
          <w:color w:val="000000" w:themeColor="text1"/>
          <w:szCs w:val="22"/>
        </w:rPr>
        <w:t xml:space="preserve"> will:</w:t>
      </w:r>
    </w:p>
    <w:p w14:paraId="04CDBE8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the school complies with the appropriate equality legislation and regulations.</w:t>
      </w:r>
    </w:p>
    <w:p w14:paraId="641382C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Meet its obligations under the PSED to publish equality objectives at least every four years commencing on the date of the last publication.</w:t>
      </w:r>
    </w:p>
    <w:p w14:paraId="5B8E0E6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that the school’s policies and procedures are developed and implemented with appropriate equality impact assessments informing </w:t>
      </w:r>
      <w:proofErr w:type="gramStart"/>
      <w:r w:rsidRPr="00135C11">
        <w:rPr>
          <w:rFonts w:ascii="Century Gothic" w:hAnsi="Century Gothic"/>
          <w:color w:val="000000" w:themeColor="text1"/>
        </w:rPr>
        <w:t>future plans</w:t>
      </w:r>
      <w:proofErr w:type="gramEnd"/>
      <w:r w:rsidRPr="00135C11">
        <w:rPr>
          <w:rFonts w:ascii="Century Gothic" w:hAnsi="Century Gothic"/>
          <w:color w:val="000000" w:themeColor="text1"/>
        </w:rPr>
        <w:t>.</w:t>
      </w:r>
    </w:p>
    <w:p w14:paraId="73CB38A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that the school’s </w:t>
      </w:r>
      <w:r w:rsidRPr="00135C11">
        <w:rPr>
          <w:rFonts w:ascii="Century Gothic" w:hAnsi="Century Gothic"/>
          <w:b/>
          <w:color w:val="000000" w:themeColor="text1"/>
          <w:u w:val="single"/>
        </w:rPr>
        <w:t>Admissions Policy</w:t>
      </w:r>
      <w:r w:rsidRPr="00135C11">
        <w:rPr>
          <w:rFonts w:ascii="Century Gothic" w:hAnsi="Century Gothic"/>
          <w:color w:val="000000" w:themeColor="text1"/>
        </w:rPr>
        <w:t xml:space="preserve"> does not discriminate in any way.</w:t>
      </w:r>
    </w:p>
    <w:p w14:paraId="5649DB40" w14:textId="0A7337ED"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equal opportunities in its staff recruitment and promotion practices, professional development programmes and in membership of the </w:t>
      </w:r>
      <w:r>
        <w:rPr>
          <w:rFonts w:ascii="Century Gothic" w:hAnsi="Century Gothic"/>
          <w:color w:val="000000" w:themeColor="text1"/>
        </w:rPr>
        <w:t>Management Committee.</w:t>
      </w:r>
    </w:p>
    <w:p w14:paraId="6A6D0C1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Proactively recruit high-quality applicants from under-represented groups.</w:t>
      </w:r>
    </w:p>
    <w:p w14:paraId="74752F5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Provide information in appropriate and accessible formats.</w:t>
      </w:r>
    </w:p>
    <w:p w14:paraId="4EA5C87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the necessary disciplinary measures are in place to enforce this policy.</w:t>
      </w:r>
    </w:p>
    <w:p w14:paraId="49075491"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w:t>
      </w:r>
      <w:r w:rsidRPr="00135C11">
        <w:rPr>
          <w:rFonts w:ascii="Century Gothic" w:hAnsi="Century Gothic"/>
          <w:b/>
          <w:color w:val="000000" w:themeColor="text1"/>
          <w:szCs w:val="22"/>
          <w:u w:val="single"/>
        </w:rPr>
        <w:t>headteacher</w:t>
      </w:r>
      <w:r w:rsidRPr="00135C11">
        <w:rPr>
          <w:rFonts w:ascii="Century Gothic" w:hAnsi="Century Gothic"/>
          <w:color w:val="000000" w:themeColor="text1"/>
          <w:szCs w:val="22"/>
        </w:rPr>
        <w:t xml:space="preserve"> will:</w:t>
      </w:r>
    </w:p>
    <w:p w14:paraId="39441D6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Implement this policy and its procedures.</w:t>
      </w:r>
    </w:p>
    <w:p w14:paraId="0528293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all staff members receive the appropriate equality and diversity training as part of their induction and CPD.</w:t>
      </w:r>
    </w:p>
    <w:p w14:paraId="70C2236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all parents, visitors and contractors are aware of, and comply with, the provisions of this policy.</w:t>
      </w:r>
    </w:p>
    <w:p w14:paraId="62D5335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lastRenderedPageBreak/>
        <w:t>Actively challenge and take appropriate action in any case of discriminatory practice.</w:t>
      </w:r>
    </w:p>
    <w:p w14:paraId="28201D8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Address any reported incidents of harassment or bullying in line with DfE guidance.</w:t>
      </w:r>
    </w:p>
    <w:p w14:paraId="731973FF" w14:textId="30865C8A"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Produce an annual report on the progress of implementing the provisions of this policy and report it to the </w:t>
      </w:r>
      <w:r>
        <w:rPr>
          <w:rFonts w:ascii="Century Gothic" w:hAnsi="Century Gothic"/>
          <w:b/>
          <w:color w:val="000000" w:themeColor="text1"/>
          <w:u w:val="single"/>
        </w:rPr>
        <w:t>Management Committee.</w:t>
      </w:r>
    </w:p>
    <w:p w14:paraId="3283E111"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Employees will:</w:t>
      </w:r>
    </w:p>
    <w:p w14:paraId="085E248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Be mindful of any incidents of harassment or bullying in the school.</w:t>
      </w:r>
    </w:p>
    <w:p w14:paraId="1EAB9F8A"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Address any minor issues of harassment or bullying and report any major breaches of the policy to the </w:t>
      </w:r>
      <w:r w:rsidRPr="00135C11">
        <w:rPr>
          <w:rFonts w:ascii="Century Gothic" w:hAnsi="Century Gothic"/>
          <w:b/>
          <w:color w:val="000000" w:themeColor="text1"/>
          <w:u w:val="single"/>
        </w:rPr>
        <w:t>headteacher</w:t>
      </w:r>
      <w:r w:rsidRPr="00135C11">
        <w:rPr>
          <w:rFonts w:ascii="Century Gothic" w:hAnsi="Century Gothic"/>
          <w:color w:val="000000" w:themeColor="text1"/>
        </w:rPr>
        <w:t>.</w:t>
      </w:r>
    </w:p>
    <w:p w14:paraId="391444D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Identify and challenge bias and stereotyping within the curriculum and the school’s culture.</w:t>
      </w:r>
    </w:p>
    <w:p w14:paraId="59A14EB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Promote equality and good relations, and not harass or discriminate in any way.</w:t>
      </w:r>
    </w:p>
    <w:p w14:paraId="1C56545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Monitor pupils’ progress and academic needs to ensure the appropriate support is in place.</w:t>
      </w:r>
    </w:p>
    <w:p w14:paraId="36EE89D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Keep </w:t>
      </w:r>
      <w:proofErr w:type="gramStart"/>
      <w:r w:rsidRPr="00135C11">
        <w:rPr>
          <w:rFonts w:ascii="Century Gothic" w:hAnsi="Century Gothic"/>
          <w:color w:val="000000" w:themeColor="text1"/>
        </w:rPr>
        <w:t>up-to-date</w:t>
      </w:r>
      <w:proofErr w:type="gramEnd"/>
      <w:r w:rsidRPr="00135C11">
        <w:rPr>
          <w:rFonts w:ascii="Century Gothic" w:hAnsi="Century Gothic"/>
          <w:color w:val="000000" w:themeColor="text1"/>
        </w:rPr>
        <w:t xml:space="preserve"> with equality legislation and its application by attending the appropriate training.</w:t>
      </w:r>
    </w:p>
    <w:p w14:paraId="782AB6B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Pupils will:</w:t>
      </w:r>
    </w:p>
    <w:p w14:paraId="19B0CB3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Not discriminate or harass any other pupil or staff member.</w:t>
      </w:r>
    </w:p>
    <w:p w14:paraId="2E701DE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Actively encourage equality and diversity in the school by contributing their cultural experiences and values.</w:t>
      </w:r>
    </w:p>
    <w:p w14:paraId="1E37C72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Report any incidences of bullying or harassment, whether to themselves or to others, to the </w:t>
      </w:r>
      <w:r w:rsidRPr="00135C11">
        <w:rPr>
          <w:rFonts w:ascii="Century Gothic" w:hAnsi="Century Gothic"/>
          <w:b/>
          <w:color w:val="000000" w:themeColor="text1"/>
          <w:u w:val="single"/>
        </w:rPr>
        <w:t>head of year</w:t>
      </w:r>
      <w:r w:rsidRPr="00135C11">
        <w:rPr>
          <w:rFonts w:ascii="Century Gothic" w:hAnsi="Century Gothic"/>
          <w:color w:val="000000" w:themeColor="text1"/>
        </w:rPr>
        <w:t xml:space="preserve"> or to another member of staff.</w:t>
      </w:r>
    </w:p>
    <w:p w14:paraId="5CDF679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Abide by all the school’s equality and diversity policies, procedures and codes. </w:t>
      </w:r>
    </w:p>
    <w:p w14:paraId="0196494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have an equality page on its website, in order to demonstrate how it is complying with the PSED in the Equality Act </w:t>
      </w:r>
      <w:proofErr w:type="gramStart"/>
      <w:r w:rsidRPr="00135C11">
        <w:rPr>
          <w:rFonts w:ascii="Century Gothic" w:hAnsi="Century Gothic"/>
          <w:color w:val="000000" w:themeColor="text1"/>
          <w:szCs w:val="22"/>
        </w:rPr>
        <w:t>2010, and</w:t>
      </w:r>
      <w:proofErr w:type="gramEnd"/>
      <w:r w:rsidRPr="00135C11">
        <w:rPr>
          <w:rFonts w:ascii="Century Gothic" w:hAnsi="Century Gothic"/>
          <w:color w:val="000000" w:themeColor="text1"/>
          <w:szCs w:val="22"/>
        </w:rPr>
        <w:t xml:space="preserve"> advancing equality of opportunity.</w:t>
      </w:r>
    </w:p>
    <w:p w14:paraId="7D85E375"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6" w:name="_Equality_objectives"/>
      <w:bookmarkStart w:id="17" w:name="Subsection4"/>
      <w:bookmarkEnd w:id="16"/>
      <w:r w:rsidRPr="00135C11">
        <w:rPr>
          <w:rFonts w:ascii="Century Gothic" w:hAnsi="Century Gothic"/>
          <w:color w:val="000000" w:themeColor="text1"/>
          <w:sz w:val="22"/>
          <w:szCs w:val="22"/>
        </w:rPr>
        <w:t>Equality objectives</w:t>
      </w:r>
    </w:p>
    <w:p w14:paraId="1474085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is committed to promoting the welfare and equality of all its staff, pupils and other members of the school community. To achieve this, the school has established the following objectives:</w:t>
      </w:r>
    </w:p>
    <w:p w14:paraId="42703118"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lastRenderedPageBreak/>
        <w:t>Monitor changes to the curriculum to ensure they result in good outcomes for pupils in all vulnerable groups, and to review the curriculum considering new performance measures</w:t>
      </w:r>
    </w:p>
    <w:p w14:paraId="6518307F"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Offer appropriate qualifications in English for pupils in all vulnerable groups</w:t>
      </w:r>
    </w:p>
    <w:p w14:paraId="6C095C9D"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Implement effective strategies to support pupils in all vulnerable groups following linear exam courses</w:t>
      </w:r>
    </w:p>
    <w:p w14:paraId="3E32E321"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Improve the quality of support for pupils in all vulnerable groups in the classroom</w:t>
      </w:r>
    </w:p>
    <w:p w14:paraId="414038A3"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Continue to explore the use of new technologies to support pupils in all vulnerable groups in accessing their learning. With special investigation taking place regarding the use of technology in modern foreign languages, internal exams and group work</w:t>
      </w:r>
    </w:p>
    <w:p w14:paraId="57C9A24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update all published equality documentation annually and will publish its objectives at least every four years.  </w:t>
      </w:r>
    </w:p>
    <w:p w14:paraId="6D634832"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8" w:name="_Collecting_and_using"/>
      <w:bookmarkEnd w:id="18"/>
      <w:r w:rsidRPr="00135C11">
        <w:rPr>
          <w:rFonts w:ascii="Century Gothic" w:hAnsi="Century Gothic"/>
          <w:color w:val="000000" w:themeColor="text1"/>
          <w:sz w:val="22"/>
          <w:szCs w:val="22"/>
        </w:rPr>
        <w:t>Collecting and using information</w:t>
      </w:r>
    </w:p>
    <w:p w14:paraId="14D58E2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collect equality information for the purpose of:</w:t>
      </w:r>
    </w:p>
    <w:p w14:paraId="5FBBBF97"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Identifying key issues, e.g. unlawful discrimination in teaching methods.</w:t>
      </w:r>
    </w:p>
    <w:p w14:paraId="40B1F7FF"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Assessing performance, e.g. benchmarking against similar organisations locally or nationally.</w:t>
      </w:r>
    </w:p>
    <w:p w14:paraId="0683B9F2" w14:textId="77777777" w:rsidR="00135C11" w:rsidRPr="00135C11" w:rsidRDefault="00135C11" w:rsidP="00135C11">
      <w:pPr>
        <w:pStyle w:val="TSB-PolicyBullets"/>
        <w:ind w:left="2137" w:hanging="357"/>
        <w:rPr>
          <w:rFonts w:ascii="Century Gothic" w:hAnsi="Century Gothic"/>
          <w:color w:val="000000" w:themeColor="text1"/>
        </w:rPr>
      </w:pPr>
      <w:proofErr w:type="gramStart"/>
      <w:r w:rsidRPr="00135C11">
        <w:rPr>
          <w:rFonts w:ascii="Century Gothic" w:hAnsi="Century Gothic"/>
          <w:color w:val="000000" w:themeColor="text1"/>
        </w:rPr>
        <w:t>Taking action</w:t>
      </w:r>
      <w:proofErr w:type="gramEnd"/>
      <w:r w:rsidRPr="00135C11">
        <w:rPr>
          <w:rFonts w:ascii="Century Gothic" w:hAnsi="Century Gothic"/>
          <w:color w:val="000000" w:themeColor="text1"/>
        </w:rPr>
        <w:t xml:space="preserve">, e.g. adapting working practice to accommodate the needs of staff who share protected characteristics. </w:t>
      </w:r>
    </w:p>
    <w:p w14:paraId="0681374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build an equality profile for staff to assist with identifying any issues within their recruitment regime. The school will obtain the following information from their staff: </w:t>
      </w:r>
    </w:p>
    <w:p w14:paraId="2631974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Recruitment and promotion </w:t>
      </w:r>
    </w:p>
    <w:p w14:paraId="5784358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Numbers of part-time and full-time staff </w:t>
      </w:r>
    </w:p>
    <w:p w14:paraId="0606A6F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Pay and remuneration </w:t>
      </w:r>
    </w:p>
    <w:p w14:paraId="483FC4D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Training </w:t>
      </w:r>
    </w:p>
    <w:p w14:paraId="516F630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Return to work of women on maternity leave </w:t>
      </w:r>
    </w:p>
    <w:p w14:paraId="3936746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Return to work of disabled employees following sick leave relating to their disabilities </w:t>
      </w:r>
    </w:p>
    <w:p w14:paraId="791C9F7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Appraisals </w:t>
      </w:r>
    </w:p>
    <w:p w14:paraId="5A1E380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Grievances (including about harassment) </w:t>
      </w:r>
    </w:p>
    <w:p w14:paraId="5457327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Disciplinary action (including for harassment) </w:t>
      </w:r>
    </w:p>
    <w:p w14:paraId="3036D5B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lastRenderedPageBreak/>
        <w:t>Dismissals and other reasons for leaving</w:t>
      </w:r>
    </w:p>
    <w:p w14:paraId="42B2B8CF"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use the information they obtain to analyse any gaps present in their equality documentary, including the </w:t>
      </w:r>
      <w:r w:rsidRPr="00135C11">
        <w:rPr>
          <w:rFonts w:ascii="Century Gothic" w:hAnsi="Century Gothic"/>
          <w:b/>
          <w:color w:val="000000" w:themeColor="text1"/>
          <w:szCs w:val="22"/>
          <w:u w:val="single"/>
        </w:rPr>
        <w:t>Equal Opportunities Policy</w:t>
      </w:r>
      <w:r w:rsidRPr="00135C11">
        <w:rPr>
          <w:rFonts w:ascii="Century Gothic" w:hAnsi="Century Gothic"/>
          <w:color w:val="000000" w:themeColor="text1"/>
          <w:szCs w:val="22"/>
        </w:rPr>
        <w:t xml:space="preserve">. </w:t>
      </w:r>
    </w:p>
    <w:p w14:paraId="5D68AE6C"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Any personal data the school collects will be processed in accordance with the </w:t>
      </w:r>
      <w:r w:rsidRPr="00135C11">
        <w:rPr>
          <w:rFonts w:ascii="Century Gothic" w:hAnsi="Century Gothic"/>
          <w:b/>
          <w:color w:val="000000" w:themeColor="text1"/>
          <w:szCs w:val="22"/>
          <w:u w:val="single"/>
        </w:rPr>
        <w:t>Data Protection Policy</w:t>
      </w:r>
      <w:r w:rsidRPr="00135C11">
        <w:rPr>
          <w:rFonts w:ascii="Century Gothic" w:hAnsi="Century Gothic"/>
          <w:color w:val="000000" w:themeColor="text1"/>
          <w:szCs w:val="22"/>
        </w:rPr>
        <w:t>.</w:t>
      </w:r>
    </w:p>
    <w:p w14:paraId="13F83B2E"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9" w:name="_Publishing_information"/>
      <w:bookmarkEnd w:id="19"/>
      <w:r w:rsidRPr="00135C11">
        <w:rPr>
          <w:rFonts w:ascii="Century Gothic" w:hAnsi="Century Gothic"/>
          <w:color w:val="000000" w:themeColor="text1"/>
          <w:sz w:val="22"/>
          <w:szCs w:val="22"/>
        </w:rPr>
        <w:t>Publishing information</w:t>
      </w:r>
    </w:p>
    <w:p w14:paraId="3503144D"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publish information to demonstrate its compliance with the Act.</w:t>
      </w:r>
    </w:p>
    <w:p w14:paraId="522E977A"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publish information relating to persons within the school community who share relevant protected characteristics, these will include:</w:t>
      </w:r>
    </w:p>
    <w:p w14:paraId="6076046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b/>
          <w:color w:val="000000" w:themeColor="text1"/>
        </w:rPr>
        <w:t>[Schools with over 150 employees only]</w:t>
      </w:r>
      <w:r w:rsidRPr="00135C11">
        <w:rPr>
          <w:rFonts w:ascii="Century Gothic" w:hAnsi="Century Gothic"/>
          <w:color w:val="000000" w:themeColor="text1"/>
        </w:rPr>
        <w:t xml:space="preserve"> The school’s employees </w:t>
      </w:r>
    </w:p>
    <w:p w14:paraId="2A94B30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Other persons affected by the school’s policies and procedures</w:t>
      </w:r>
    </w:p>
    <w:p w14:paraId="25A4B67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not provide this information if:</w:t>
      </w:r>
    </w:p>
    <w:p w14:paraId="3AF8991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The employee is employed under contract personally to do work.</w:t>
      </w:r>
    </w:p>
    <w:p w14:paraId="6E1516F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The employer does not have, and it is not reasonably practicable for the employer to obtain the data. </w:t>
      </w:r>
    </w:p>
    <w:p w14:paraId="3A1EC9E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publish findings in their </w:t>
      </w:r>
      <w:r w:rsidRPr="00135C11">
        <w:rPr>
          <w:rFonts w:ascii="Century Gothic" w:hAnsi="Century Gothic"/>
          <w:b/>
          <w:color w:val="000000" w:themeColor="text1"/>
          <w:szCs w:val="22"/>
          <w:u w:val="single"/>
        </w:rPr>
        <w:t>annual</w:t>
      </w:r>
      <w:r w:rsidRPr="00135C11">
        <w:rPr>
          <w:rFonts w:ascii="Century Gothic" w:hAnsi="Century Gothic"/>
          <w:color w:val="000000" w:themeColor="text1"/>
          <w:szCs w:val="22"/>
        </w:rPr>
        <w:t xml:space="preserve"> report.</w:t>
      </w:r>
    </w:p>
    <w:p w14:paraId="669D7458"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0" w:name="_Promoting_equality"/>
      <w:bookmarkEnd w:id="20"/>
      <w:r w:rsidRPr="00135C11">
        <w:rPr>
          <w:rFonts w:ascii="Century Gothic" w:hAnsi="Century Gothic"/>
          <w:color w:val="000000" w:themeColor="text1"/>
          <w:sz w:val="22"/>
          <w:szCs w:val="22"/>
        </w:rPr>
        <w:t>Promoting equality</w:t>
      </w:r>
    </w:p>
    <w:p w14:paraId="41854F2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In order to meet our objectives, the school has identified the following priorities:</w:t>
      </w:r>
    </w:p>
    <w:p w14:paraId="323A5652"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 xml:space="preserve">The school will provide auxiliary aids that are directly related to disabled pupil’s educational needs as a reasonable adjustment, so they can integrate wholly in all parts of school life. </w:t>
      </w:r>
    </w:p>
    <w:p w14:paraId="030E68C0"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 xml:space="preserve">Staff will ensure that all pupils are able to take part in extra-curricular activities and residential visits, and the school will monitor uptake of these visits to ensure no one is disadvantaged on the grounds of a protected characteristic. </w:t>
      </w:r>
    </w:p>
    <w:p w14:paraId="5AD542DF"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 school will ensure that all forms of prejudice-motivated bullying is taken seriously and dealt with equally and firmly.</w:t>
      </w:r>
    </w:p>
    <w:p w14:paraId="42735CE6"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There will be differential schemes of work designed to meet the abilities and learning styles of all pupils.</w:t>
      </w:r>
    </w:p>
    <w:p w14:paraId="5EBFC602"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There will be a clearly defined disciplinary system stipulated in the Behavioural Policy, which will be consistently enforced.</w:t>
      </w:r>
    </w:p>
    <w:p w14:paraId="7E1C2E7D"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lastRenderedPageBreak/>
        <w:t xml:space="preserve">The school will increase access for disabled children and young people to the school curriculum and will take necessary steps to meet pupils’ needs by using a variety of approaches and planning reasonable adjustments for disabled pupils, enabling them to take as full a part as possible in the activities of the school. </w:t>
      </w:r>
    </w:p>
    <w:p w14:paraId="1A30639A"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 school will ensure there is adequate access to the physical environment of the school.</w:t>
      </w:r>
    </w:p>
    <w:p w14:paraId="4D69DDE4"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 xml:space="preserve">The school will improve the delivery of written information to disabled children and young people. </w:t>
      </w:r>
    </w:p>
    <w:p w14:paraId="71725096"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 school will seek the views of advisory staff, outside agencies and local schools.</w:t>
      </w:r>
    </w:p>
    <w:p w14:paraId="498A85C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b/>
          <w:color w:val="000000" w:themeColor="text1"/>
          <w:u w:val="single"/>
        </w:rPr>
        <w:t>Throughout the year, the school will plan ongoing events to raise awareness of equality and diversity</w:t>
      </w:r>
      <w:r w:rsidRPr="00135C11">
        <w:rPr>
          <w:rFonts w:ascii="Century Gothic" w:hAnsi="Century Gothic"/>
          <w:color w:val="000000" w:themeColor="text1"/>
        </w:rPr>
        <w:t xml:space="preserve">. </w:t>
      </w:r>
    </w:p>
    <w:p w14:paraId="6239E8F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consult with stakeholders to establish equality objectives and draw up a plan based on information collected on protected groups and accessibility planning. </w:t>
      </w:r>
    </w:p>
    <w:p w14:paraId="62AA6FB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Equality objectives will be published at least every four years commencing on the date of the last publication.</w:t>
      </w:r>
    </w:p>
    <w:p w14:paraId="3F8CBD9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Bullying and prejudice will be carefully monitored and dealt with accordingly.</w:t>
      </w:r>
    </w:p>
    <w:p w14:paraId="1551F1DF"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b/>
          <w:color w:val="000000" w:themeColor="text1"/>
          <w:szCs w:val="22"/>
          <w:u w:val="single"/>
        </w:rPr>
        <w:t>Annual</w:t>
      </w:r>
      <w:r w:rsidRPr="00135C11">
        <w:rPr>
          <w:rFonts w:ascii="Century Gothic" w:hAnsi="Century Gothic"/>
          <w:b/>
          <w:color w:val="000000" w:themeColor="text1"/>
          <w:szCs w:val="22"/>
        </w:rPr>
        <w:t xml:space="preserve"> </w:t>
      </w:r>
      <w:r w:rsidRPr="00135C11">
        <w:rPr>
          <w:rFonts w:ascii="Century Gothic" w:hAnsi="Century Gothic"/>
          <w:color w:val="000000" w:themeColor="text1"/>
          <w:szCs w:val="22"/>
        </w:rPr>
        <w:t xml:space="preserve">training will be given to both existing and new staff to ensure that they are aware of the process for reporting and following up incidents of prejudice-related bullying.  </w:t>
      </w:r>
    </w:p>
    <w:p w14:paraId="03B8AB57"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1" w:name="_Addressing_prejudice_related"/>
      <w:bookmarkStart w:id="22" w:name="Subsection5"/>
      <w:bookmarkEnd w:id="17"/>
      <w:bookmarkEnd w:id="21"/>
      <w:r w:rsidRPr="00135C11">
        <w:rPr>
          <w:rFonts w:ascii="Century Gothic" w:hAnsi="Century Gothic"/>
          <w:color w:val="000000" w:themeColor="text1"/>
          <w:sz w:val="22"/>
          <w:szCs w:val="22"/>
        </w:rPr>
        <w:t>Addressing prejudice-related incidents</w:t>
      </w:r>
    </w:p>
    <w:p w14:paraId="5E91EC5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is opposed to all forms of </w:t>
      </w:r>
      <w:proofErr w:type="gramStart"/>
      <w:r w:rsidRPr="00135C11">
        <w:rPr>
          <w:rFonts w:ascii="Century Gothic" w:hAnsi="Century Gothic"/>
          <w:color w:val="000000" w:themeColor="text1"/>
          <w:szCs w:val="22"/>
        </w:rPr>
        <w:t>prejudice</w:t>
      </w:r>
      <w:proofErr w:type="gramEnd"/>
      <w:r w:rsidRPr="00135C11">
        <w:rPr>
          <w:rFonts w:ascii="Century Gothic" w:hAnsi="Century Gothic"/>
          <w:color w:val="000000" w:themeColor="text1"/>
          <w:szCs w:val="22"/>
        </w:rPr>
        <w:t xml:space="preserve"> and we recognise that pupils and staff who experience any form of prejudice-related discrimination may fare less well in the education system. </w:t>
      </w:r>
    </w:p>
    <w:p w14:paraId="1F24A73D"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ensure that pupils and staff are aware of the impact of prejudice in order to prevent any incidents from occurring.</w:t>
      </w:r>
    </w:p>
    <w:p w14:paraId="5C309CA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If incidents continue to occur, the school will address them immediately and report them to the LA.  </w:t>
      </w:r>
    </w:p>
    <w:p w14:paraId="4FF5EC03"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3" w:name="_Appeal_process"/>
      <w:bookmarkEnd w:id="23"/>
      <w:r w:rsidRPr="00135C11">
        <w:rPr>
          <w:rFonts w:ascii="Century Gothic" w:hAnsi="Century Gothic"/>
          <w:color w:val="000000" w:themeColor="text1"/>
          <w:sz w:val="22"/>
          <w:szCs w:val="22"/>
        </w:rPr>
        <w:t>Appeal process</w:t>
      </w:r>
    </w:p>
    <w:p w14:paraId="286BFDE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Staff members retain the right to appeal against a decision on the acceptability of their appearance e.g. dress code, using the school’s grievance procedure.</w:t>
      </w:r>
    </w:p>
    <w:p w14:paraId="51F8D725"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adhere to the </w:t>
      </w:r>
      <w:r w:rsidRPr="00135C11">
        <w:rPr>
          <w:rFonts w:ascii="Century Gothic" w:hAnsi="Century Gothic"/>
          <w:b/>
          <w:color w:val="000000" w:themeColor="text1"/>
          <w:szCs w:val="22"/>
          <w:u w:val="single"/>
        </w:rPr>
        <w:t>Complaints Procedures Policy</w:t>
      </w:r>
      <w:r w:rsidRPr="00135C11">
        <w:rPr>
          <w:rFonts w:ascii="Century Gothic" w:hAnsi="Century Gothic"/>
          <w:color w:val="000000" w:themeColor="text1"/>
          <w:szCs w:val="22"/>
        </w:rPr>
        <w:t xml:space="preserve"> when following the grievance procedure.</w:t>
      </w:r>
      <w:bookmarkStart w:id="24" w:name="_Data_protection"/>
      <w:bookmarkEnd w:id="24"/>
    </w:p>
    <w:p w14:paraId="526277D0"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5" w:name="_Curriculum"/>
      <w:bookmarkEnd w:id="25"/>
      <w:r w:rsidRPr="00135C11">
        <w:rPr>
          <w:rFonts w:ascii="Century Gothic" w:hAnsi="Century Gothic"/>
          <w:color w:val="000000" w:themeColor="text1"/>
          <w:sz w:val="22"/>
          <w:szCs w:val="22"/>
        </w:rPr>
        <w:lastRenderedPageBreak/>
        <w:t>Curriculum</w:t>
      </w:r>
    </w:p>
    <w:p w14:paraId="269B4A7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All pupils will be entitled to access a broad and balanced curriculum and to teaching and learning opportunities which meet their needs, including extra support where this has been identified as a statutory need. </w:t>
      </w:r>
    </w:p>
    <w:p w14:paraId="2E83AFC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When planning the curriculum, the school will take every opportunity to promote and advance equality.</w:t>
      </w:r>
    </w:p>
    <w:p w14:paraId="0CFA961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When teaching the curriculum, the school will promote equality and will not subject individuals to discrimination.</w:t>
      </w:r>
    </w:p>
    <w:p w14:paraId="045CF0C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develop an appropriate curriculum for all pupils in all vulnerable groups.</w:t>
      </w:r>
    </w:p>
    <w:p w14:paraId="7C8E0F3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ensure PSHE lessons are designed for pupils to develop their knowledge of the world and the importance of equality.</w:t>
      </w:r>
    </w:p>
    <w:p w14:paraId="70EB3DD2" w14:textId="77777777" w:rsidR="00135C11" w:rsidRPr="00135C11" w:rsidRDefault="00135C11" w:rsidP="00135C11">
      <w:pPr>
        <w:pStyle w:val="Heading10"/>
        <w:numPr>
          <w:ilvl w:val="0"/>
          <w:numId w:val="19"/>
        </w:numPr>
        <w:jc w:val="left"/>
        <w:rPr>
          <w:rFonts w:ascii="Century Gothic" w:hAnsi="Century Gothic"/>
          <w:b w:val="0"/>
          <w:color w:val="000000" w:themeColor="text1"/>
          <w:sz w:val="22"/>
          <w:szCs w:val="22"/>
        </w:rPr>
      </w:pPr>
      <w:bookmarkStart w:id="26" w:name="_Monitoring_and_review"/>
      <w:bookmarkEnd w:id="26"/>
      <w:r w:rsidRPr="00135C11">
        <w:rPr>
          <w:rFonts w:ascii="Century Gothic" w:hAnsi="Century Gothic"/>
          <w:color w:val="000000" w:themeColor="text1"/>
          <w:sz w:val="22"/>
          <w:szCs w:val="22"/>
        </w:rPr>
        <w:t>Monitoring and review</w:t>
      </w:r>
    </w:p>
    <w:p w14:paraId="0BAF9701" w14:textId="77777777" w:rsidR="00135C11" w:rsidRPr="00135C11" w:rsidRDefault="00135C11" w:rsidP="00135C11">
      <w:pPr>
        <w:pStyle w:val="TSB-Level1Numbers"/>
        <w:rPr>
          <w:rFonts w:ascii="Century Gothic" w:hAnsi="Century Gothic"/>
          <w:color w:val="000000" w:themeColor="text1"/>
          <w:szCs w:val="22"/>
        </w:rPr>
      </w:pPr>
      <w:bookmarkStart w:id="27" w:name="_Definition"/>
      <w:bookmarkEnd w:id="22"/>
      <w:bookmarkEnd w:id="27"/>
      <w:r w:rsidRPr="00135C11">
        <w:rPr>
          <w:rFonts w:ascii="Century Gothic" w:hAnsi="Century Gothic"/>
          <w:color w:val="000000" w:themeColor="text1"/>
          <w:szCs w:val="22"/>
        </w:rPr>
        <w:t xml:space="preserve">The </w:t>
      </w:r>
      <w:r w:rsidRPr="00135C11">
        <w:rPr>
          <w:rFonts w:ascii="Century Gothic" w:hAnsi="Century Gothic"/>
          <w:b/>
          <w:color w:val="000000" w:themeColor="text1"/>
          <w:szCs w:val="22"/>
          <w:u w:val="single"/>
        </w:rPr>
        <w:t>headteacher</w:t>
      </w:r>
      <w:r w:rsidRPr="00135C11">
        <w:rPr>
          <w:rFonts w:ascii="Century Gothic" w:hAnsi="Century Gothic"/>
          <w:color w:val="000000" w:themeColor="text1"/>
          <w:szCs w:val="22"/>
        </w:rPr>
        <w:t xml:space="preserve"> will review this policy </w:t>
      </w:r>
      <w:r w:rsidRPr="00135C11">
        <w:rPr>
          <w:rFonts w:ascii="Century Gothic" w:hAnsi="Century Gothic"/>
          <w:b/>
          <w:color w:val="000000" w:themeColor="text1"/>
          <w:szCs w:val="22"/>
          <w:u w:val="single"/>
        </w:rPr>
        <w:t>annually</w:t>
      </w:r>
      <w:r w:rsidRPr="00135C11">
        <w:rPr>
          <w:rFonts w:ascii="Century Gothic" w:hAnsi="Century Gothic"/>
          <w:color w:val="000000" w:themeColor="text1"/>
          <w:szCs w:val="22"/>
        </w:rPr>
        <w:t xml:space="preserve">, to ensure that all procedures are </w:t>
      </w:r>
      <w:proofErr w:type="gramStart"/>
      <w:r w:rsidRPr="00135C11">
        <w:rPr>
          <w:rFonts w:ascii="Century Gothic" w:hAnsi="Century Gothic"/>
          <w:color w:val="000000" w:themeColor="text1"/>
          <w:szCs w:val="22"/>
        </w:rPr>
        <w:t>up-to-date</w:t>
      </w:r>
      <w:proofErr w:type="gramEnd"/>
      <w:r w:rsidRPr="00135C11">
        <w:rPr>
          <w:rFonts w:ascii="Century Gothic" w:hAnsi="Century Gothic"/>
          <w:color w:val="000000" w:themeColor="text1"/>
          <w:szCs w:val="22"/>
        </w:rPr>
        <w:t>.</w:t>
      </w:r>
    </w:p>
    <w:p w14:paraId="6A40C2A0" w14:textId="40BAD6CC"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policy will be monitored and evaluated by the </w:t>
      </w:r>
      <w:r w:rsidRPr="00135C11">
        <w:rPr>
          <w:rFonts w:ascii="Century Gothic" w:hAnsi="Century Gothic"/>
          <w:b/>
          <w:color w:val="000000" w:themeColor="text1"/>
          <w:szCs w:val="22"/>
          <w:u w:val="single"/>
        </w:rPr>
        <w:t>headteacher</w:t>
      </w:r>
      <w:r w:rsidRPr="00135C11">
        <w:rPr>
          <w:rFonts w:ascii="Century Gothic" w:hAnsi="Century Gothic"/>
          <w:color w:val="000000" w:themeColor="text1"/>
          <w:szCs w:val="22"/>
        </w:rPr>
        <w:t xml:space="preserve"> and </w:t>
      </w:r>
      <w:r>
        <w:rPr>
          <w:rFonts w:ascii="Century Gothic" w:hAnsi="Century Gothic"/>
          <w:b/>
          <w:color w:val="000000" w:themeColor="text1"/>
          <w:szCs w:val="22"/>
          <w:u w:val="single"/>
        </w:rPr>
        <w:t>Management Committee</w:t>
      </w:r>
      <w:r w:rsidRPr="00135C11">
        <w:rPr>
          <w:rFonts w:ascii="Century Gothic" w:hAnsi="Century Gothic"/>
          <w:b/>
          <w:color w:val="000000" w:themeColor="text1"/>
          <w:szCs w:val="22"/>
          <w:u w:val="single"/>
        </w:rPr>
        <w:t xml:space="preserve"> </w:t>
      </w:r>
      <w:r w:rsidRPr="00135C11">
        <w:rPr>
          <w:rFonts w:ascii="Century Gothic" w:hAnsi="Century Gothic"/>
          <w:color w:val="000000" w:themeColor="text1"/>
          <w:szCs w:val="22"/>
        </w:rPr>
        <w:t>in the following ways:</w:t>
      </w:r>
    </w:p>
    <w:p w14:paraId="517755F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Individual attainment data </w:t>
      </w:r>
    </w:p>
    <w:p w14:paraId="6A2A609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 opportunities recruitment data</w:t>
      </w:r>
    </w:p>
    <w:p w14:paraId="76C7611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impact assessments</w:t>
      </w:r>
    </w:p>
    <w:p w14:paraId="59E53F1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Ofsted inspection judgements on equality and diversity</w:t>
      </w:r>
    </w:p>
    <w:p w14:paraId="4AB35AE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Incident records related to harassment and bullying</w:t>
      </w:r>
    </w:p>
    <w:p w14:paraId="5DB35D88"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Any changes made to this policy will be communicated to all members of staff.</w:t>
      </w:r>
    </w:p>
    <w:p w14:paraId="45180FC9" w14:textId="77777777" w:rsidR="00135C11" w:rsidRPr="00135C11" w:rsidRDefault="00135C11" w:rsidP="00135C11">
      <w:pPr>
        <w:rPr>
          <w:rFonts w:ascii="Century Gothic" w:hAnsi="Century Gothic"/>
          <w:color w:val="000000" w:themeColor="text1"/>
        </w:rPr>
      </w:pPr>
    </w:p>
    <w:p w14:paraId="472262A4" w14:textId="77777777" w:rsidR="00135C11" w:rsidRPr="00135C11" w:rsidRDefault="00135C11" w:rsidP="00135C11">
      <w:pPr>
        <w:rPr>
          <w:rFonts w:ascii="Century Gothic" w:hAnsi="Century Gothic"/>
          <w:color w:val="000000" w:themeColor="text1"/>
        </w:rPr>
      </w:pPr>
    </w:p>
    <w:p w14:paraId="0D2F1881" w14:textId="77777777" w:rsidR="00135C11" w:rsidRPr="00135C11" w:rsidRDefault="00135C11" w:rsidP="00135C11">
      <w:pPr>
        <w:rPr>
          <w:rFonts w:ascii="Century Gothic" w:hAnsi="Century Gothic"/>
          <w:color w:val="000000" w:themeColor="text1"/>
        </w:rPr>
      </w:pPr>
    </w:p>
    <w:p w14:paraId="62CBC80E" w14:textId="77777777" w:rsidR="00135C11" w:rsidRPr="00135C11" w:rsidRDefault="00135C11" w:rsidP="00135C11">
      <w:pPr>
        <w:rPr>
          <w:rFonts w:ascii="Century Gothic" w:hAnsi="Century Gothic" w:cs="Arial"/>
          <w:color w:val="000000" w:themeColor="text1"/>
        </w:rPr>
      </w:pPr>
    </w:p>
    <w:p w14:paraId="192A6D45" w14:textId="77777777" w:rsidR="00092BD8" w:rsidRPr="00135C11" w:rsidRDefault="00092BD8" w:rsidP="00135C11">
      <w:pPr>
        <w:pStyle w:val="NormalWeb"/>
        <w:spacing w:before="0" w:beforeAutospacing="0" w:after="150" w:afterAutospacing="0"/>
        <w:rPr>
          <w:rFonts w:ascii="Century Gothic" w:eastAsiaTheme="majorEastAsia" w:hAnsi="Century Gothic" w:cs="Calibri"/>
          <w:bCs/>
          <w:color w:val="000000" w:themeColor="text1"/>
          <w:sz w:val="22"/>
          <w:szCs w:val="22"/>
          <w:lang w:eastAsia="ja-JP"/>
        </w:rPr>
      </w:pPr>
    </w:p>
    <w:sectPr w:rsidR="00092BD8" w:rsidRPr="00135C11" w:rsidSect="00135C11">
      <w:headerReference w:type="default" r:id="rId18"/>
      <w:headerReference w:type="first" r:id="rId19"/>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28BBA" w14:textId="77777777" w:rsidR="005C583A" w:rsidRDefault="005C583A" w:rsidP="00AD4155">
      <w:r>
        <w:separator/>
      </w:r>
    </w:p>
  </w:endnote>
  <w:endnote w:type="continuationSeparator" w:id="0">
    <w:p w14:paraId="53F71ED5" w14:textId="77777777" w:rsidR="005C583A" w:rsidRDefault="005C583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4B10DE5-05EF-4C46-93C6-0ECD2236B633}"/>
    <w:embedBold r:id="rId2" w:fontKey="{FACAF0E7-E7DE-46E2-B616-2E82D54671AB}"/>
  </w:font>
  <w:font w:name="Tahoma">
    <w:panose1 w:val="020B0604030504040204"/>
    <w:charset w:val="00"/>
    <w:family w:val="swiss"/>
    <w:pitch w:val="variable"/>
    <w:sig w:usb0="E1002EFF" w:usb1="C000605B" w:usb2="00000029" w:usb3="00000000" w:csb0="000101FF" w:csb1="00000000"/>
    <w:embedRegular r:id="rId3" w:fontKey="{90EB1D8D-DF1E-4ECF-A656-5E5987AF9E7A}"/>
  </w:font>
  <w:font w:name="Century Gothic">
    <w:panose1 w:val="020B0502020202020204"/>
    <w:charset w:val="00"/>
    <w:family w:val="swiss"/>
    <w:pitch w:val="variable"/>
    <w:sig w:usb0="00000287" w:usb1="00000000" w:usb2="00000000" w:usb3="00000000" w:csb0="0000009F" w:csb1="00000000"/>
    <w:embedRegular r:id="rId4" w:fontKey="{9F8B90A5-79F9-4F16-8E8D-A6C49464D5DC}"/>
    <w:embedBold r:id="rId5" w:fontKey="{DC9BE5EB-DE33-4F13-A581-889E7A263A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060A0" w14:textId="77777777" w:rsidR="00135C11" w:rsidRDefault="00135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B2C20" w14:textId="77777777" w:rsidR="00135C11" w:rsidRDefault="00135C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56425" w14:textId="77777777" w:rsidR="00135C11" w:rsidRDefault="00135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0BF7D" w14:textId="77777777" w:rsidR="005C583A" w:rsidRDefault="005C583A" w:rsidP="00AD4155">
      <w:r>
        <w:separator/>
      </w:r>
    </w:p>
  </w:footnote>
  <w:footnote w:type="continuationSeparator" w:id="0">
    <w:p w14:paraId="1178EA92" w14:textId="77777777" w:rsidR="005C583A" w:rsidRDefault="005C583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53A2F" w14:textId="77777777" w:rsidR="00135C11" w:rsidRDefault="00135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3D4E9" w14:textId="77777777" w:rsidR="00135C11" w:rsidRDefault="00135C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21C9A" w14:textId="77777777" w:rsidR="00135C11" w:rsidRDefault="00135C11">
    <w:pPr>
      <w:pStyle w:val="Header"/>
    </w:pPr>
    <w:r>
      <w:rPr>
        <w:noProof/>
      </w:rPr>
      <mc:AlternateContent>
        <mc:Choice Requires="wps">
          <w:drawing>
            <wp:anchor distT="45720" distB="45720" distL="114300" distR="114300" simplePos="0" relativeHeight="251659264" behindDoc="0" locked="0" layoutInCell="1" allowOverlap="1" wp14:anchorId="51E5A323" wp14:editId="71B046EF">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C6ADF5" w14:textId="77777777" w:rsidR="00135C11" w:rsidRPr="00935945" w:rsidRDefault="00135C11">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E5A32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3EC6ADF5" w14:textId="77777777" w:rsidR="00135C11" w:rsidRPr="00935945" w:rsidRDefault="00135C11">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AC6068E"/>
    <w:multiLevelType w:val="multilevel"/>
    <w:tmpl w:val="4A88A9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CB70C17"/>
    <w:multiLevelType w:val="multilevel"/>
    <w:tmpl w:val="E74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C651C8B"/>
    <w:multiLevelType w:val="multilevel"/>
    <w:tmpl w:val="5438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306008657">
    <w:abstractNumId w:val="13"/>
  </w:num>
  <w:num w:numId="2" w16cid:durableId="1540363723">
    <w:abstractNumId w:val="7"/>
  </w:num>
  <w:num w:numId="3" w16cid:durableId="79779982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588391364">
    <w:abstractNumId w:val="1"/>
  </w:num>
  <w:num w:numId="5" w16cid:durableId="511385216">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822889299">
    <w:abstractNumId w:val="9"/>
  </w:num>
  <w:num w:numId="7" w16cid:durableId="835144963">
    <w:abstractNumId w:val="8"/>
  </w:num>
  <w:num w:numId="8" w16cid:durableId="198168670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109936828">
    <w:abstractNumId w:val="16"/>
  </w:num>
  <w:num w:numId="10" w16cid:durableId="1524830634">
    <w:abstractNumId w:val="14"/>
  </w:num>
  <w:num w:numId="11" w16cid:durableId="1483698834">
    <w:abstractNumId w:val="15"/>
  </w:num>
  <w:num w:numId="12" w16cid:durableId="1532959119">
    <w:abstractNumId w:val="2"/>
  </w:num>
  <w:num w:numId="13" w16cid:durableId="476996401">
    <w:abstractNumId w:val="10"/>
  </w:num>
  <w:num w:numId="14" w16cid:durableId="632834415">
    <w:abstractNumId w:val="5"/>
  </w:num>
  <w:num w:numId="15" w16cid:durableId="829443185">
    <w:abstractNumId w:val="0"/>
  </w:num>
  <w:num w:numId="16" w16cid:durableId="308486192">
    <w:abstractNumId w:val="4"/>
  </w:num>
  <w:num w:numId="17" w16cid:durableId="1992324103">
    <w:abstractNumId w:val="12"/>
  </w:num>
  <w:num w:numId="18" w16cid:durableId="1380402396">
    <w:abstractNumId w:val="11"/>
  </w:num>
  <w:num w:numId="19" w16cid:durableId="22730734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0F48"/>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35C11"/>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6EAE"/>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5DB8"/>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2"/>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83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C79BC"/>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2587"/>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3687"/>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0D4D"/>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27473076">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3EBC22-0001-4885-88A5-AA99F8DF90DE}">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7A0AFC30-EF2A-4FF2-AC36-B500CB5C3E12}"/>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234B94F2-3CC3-4184-BF98-9D7A5C370C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12</Pages>
  <Words>2502</Words>
  <Characters>14264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2020-12-30T23:28:00Z</dcterms:created>
  <dcterms:modified xsi:type="dcterms:W3CDTF">2024-09-29T06:46:00Z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